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8A" w:rsidRPr="00D63B8A" w:rsidRDefault="00D63B8A" w:rsidP="00D63B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D63B8A" w:rsidRPr="00D63B8A" w:rsidRDefault="00D63B8A" w:rsidP="00D63B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  <w:r w:rsidRPr="00D63B8A">
        <w:rPr>
          <w:rFonts w:ascii="Arial" w:eastAsia="Times New Roman" w:hAnsi="Arial" w:cs="Arial"/>
          <w:sz w:val="14"/>
          <w:szCs w:val="18"/>
          <w:lang w:eastAsia="ru-RU"/>
        </w:rPr>
        <w:t xml:space="preserve">    </w:t>
      </w:r>
    </w:p>
    <w:p w:rsidR="00D63B8A" w:rsidRPr="00D63B8A" w:rsidRDefault="00D63B8A" w:rsidP="00D63B8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4"/>
          <w:szCs w:val="18"/>
          <w:lang w:eastAsia="ru-RU"/>
        </w:rPr>
      </w:pPr>
      <w:r w:rsidRPr="00D63B8A">
        <w:rPr>
          <w:rFonts w:ascii="Arial" w:eastAsia="Times New Roman" w:hAnsi="Arial" w:cs="Arial"/>
          <w:sz w:val="14"/>
          <w:szCs w:val="18"/>
          <w:lang w:eastAsia="ru-RU"/>
        </w:rPr>
        <w:drawing>
          <wp:inline distT="0" distB="0" distL="0" distR="0">
            <wp:extent cx="534670" cy="671195"/>
            <wp:effectExtent l="19050" t="0" r="0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8A" w:rsidRPr="00D63B8A" w:rsidRDefault="00D63B8A" w:rsidP="00D63B8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</w:t>
      </w:r>
    </w:p>
    <w:p w:rsidR="00D63B8A" w:rsidRPr="00D63B8A" w:rsidRDefault="00D63B8A" w:rsidP="00D63B8A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D63B8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D63B8A" w:rsidRPr="00D63B8A" w:rsidRDefault="00D63B8A" w:rsidP="00D63B8A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D63B8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tbl>
      <w:tblPr>
        <w:tblW w:w="0" w:type="auto"/>
        <w:tblLook w:val="0000"/>
      </w:tblPr>
      <w:tblGrid>
        <w:gridCol w:w="3186"/>
        <w:gridCol w:w="3209"/>
        <w:gridCol w:w="3176"/>
      </w:tblGrid>
      <w:tr w:rsidR="00D63B8A" w:rsidRPr="00D63B8A" w:rsidTr="00AF7486">
        <w:tc>
          <w:tcPr>
            <w:tcW w:w="3186" w:type="dxa"/>
          </w:tcPr>
          <w:p w:rsidR="00D63B8A" w:rsidRPr="00D63B8A" w:rsidRDefault="00D63B8A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3B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16.10.2023</w:t>
            </w:r>
          </w:p>
        </w:tc>
        <w:tc>
          <w:tcPr>
            <w:tcW w:w="3209" w:type="dxa"/>
          </w:tcPr>
          <w:p w:rsidR="00D63B8A" w:rsidRPr="00D63B8A" w:rsidRDefault="00D63B8A" w:rsidP="00D63B8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</w:t>
            </w:r>
            <w:r w:rsidRPr="00D63B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63B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176" w:type="dxa"/>
          </w:tcPr>
          <w:p w:rsidR="00D63B8A" w:rsidRPr="00D63B8A" w:rsidRDefault="00D63B8A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3B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1036-п</w:t>
            </w:r>
          </w:p>
          <w:p w:rsidR="00D63B8A" w:rsidRPr="00D63B8A" w:rsidRDefault="00D63B8A" w:rsidP="00AF748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</w:t>
      </w:r>
      <w:proofErr w:type="gramStart"/>
      <w:r w:rsidRPr="00D63B8A">
        <w:rPr>
          <w:rFonts w:ascii="Arial" w:eastAsia="Times New Roman" w:hAnsi="Arial" w:cs="Arial"/>
          <w:sz w:val="26"/>
          <w:szCs w:val="26"/>
          <w:lang w:eastAsia="ru-RU"/>
        </w:rPr>
        <w:t>Порядка 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 Федерации, являющихся органами местного самоуправления </w:t>
      </w:r>
      <w:proofErr w:type="spellStart"/>
      <w:r w:rsidRPr="00D63B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(или) находящимися в их ведении казенными учреждениями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160.1 Бюджетного кодекса Российской Федерации, статьями 7,8,47,48 Устава </w:t>
      </w:r>
      <w:proofErr w:type="spellStart"/>
      <w:r w:rsidRPr="00D63B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пунктом 9 статьи 7 «О бюджетном процессе в муниципальном образовании </w:t>
      </w:r>
      <w:proofErr w:type="spellStart"/>
      <w:r w:rsidRPr="00D63B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ПОСТАНОВЛЯЮ: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3B8A" w:rsidRPr="00D63B8A" w:rsidRDefault="00D63B8A" w:rsidP="00D63B8A">
      <w:pPr>
        <w:spacing w:after="0" w:line="199" w:lineRule="atLeast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1. Утвердить </w:t>
      </w:r>
      <w:hyperlink r:id="rId5" w:anchor="Par28" w:history="1">
        <w:proofErr w:type="gramStart"/>
        <w:r w:rsidRPr="00D63B8A">
          <w:rPr>
            <w:rFonts w:ascii="Arial" w:eastAsia="Times New Roman" w:hAnsi="Arial" w:cs="Arial"/>
            <w:color w:val="014591"/>
            <w:sz w:val="26"/>
            <w:szCs w:val="26"/>
            <w:lang w:eastAsia="ru-RU"/>
          </w:rPr>
          <w:t>П</w:t>
        </w:r>
        <w:proofErr w:type="gramEnd"/>
      </w:hyperlink>
      <w:r w:rsidRPr="00D63B8A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орядок осуществления бюджетных полномочий главных администраторов доходов бюджетов бюджетной системы Российской Федерации, являющихся в их ведении казенными учреждениями, </w:t>
      </w:r>
      <w:r w:rsidRPr="00D63B8A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приложению 1.</w:t>
      </w:r>
    </w:p>
    <w:p w:rsidR="00D63B8A" w:rsidRPr="00D63B8A" w:rsidRDefault="00D63B8A" w:rsidP="00D63B8A">
      <w:pPr>
        <w:spacing w:after="0" w:line="199" w:lineRule="atLeast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D63B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24.01.2019 №50-п «Об утверждении </w:t>
      </w:r>
      <w:proofErr w:type="gramStart"/>
      <w:r w:rsidRPr="00D63B8A">
        <w:rPr>
          <w:rFonts w:ascii="Arial" w:eastAsia="Times New Roman" w:hAnsi="Arial" w:cs="Arial"/>
          <w:sz w:val="26"/>
          <w:szCs w:val="26"/>
          <w:lang w:eastAsia="ru-RU"/>
        </w:rPr>
        <w:t>Порядка 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 Федерации, являющихся органами местного самоуправления </w:t>
      </w:r>
      <w:proofErr w:type="spellStart"/>
      <w:r w:rsidRPr="00D63B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(или) находящимися в их ведении казенными учреждениями».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63B8A">
        <w:rPr>
          <w:rFonts w:ascii="Arial" w:eastAsia="Times New Roman" w:hAnsi="Arial" w:cs="Arial"/>
          <w:sz w:val="26"/>
          <w:szCs w:val="26"/>
          <w:lang w:eastAsia="ru-RU"/>
        </w:rPr>
        <w:t>2. </w:t>
      </w:r>
      <w:proofErr w:type="gramStart"/>
      <w:r w:rsidRPr="00D63B8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D63B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          А.С. Арсеньеву.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3. 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D63B8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D63B8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В.М.Любим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D63B8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>от 16.10.2023№1036-п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sz w:val="20"/>
          <w:szCs w:val="20"/>
          <w:lang w:eastAsia="ru-RU"/>
        </w:rPr>
        <w:t>Порядок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осуществления бюджетных </w:t>
      </w:r>
      <w:proofErr w:type="gramStart"/>
      <w:r w:rsidRPr="00D63B8A">
        <w:rPr>
          <w:rFonts w:ascii="Arial" w:eastAsia="Times New Roman" w:hAnsi="Arial" w:cs="Arial"/>
          <w:sz w:val="20"/>
          <w:szCs w:val="20"/>
          <w:lang w:eastAsia="ru-RU"/>
        </w:rPr>
        <w:t>полномочий главных администраторов доходов бюджетов бюджетной системы Российской</w:t>
      </w:r>
      <w:proofErr w:type="gramEnd"/>
      <w:r w:rsidRPr="00D63B8A">
        <w:rPr>
          <w:rFonts w:ascii="Arial" w:eastAsia="Times New Roman" w:hAnsi="Arial" w:cs="Arial"/>
          <w:sz w:val="20"/>
          <w:szCs w:val="20"/>
          <w:lang w:eastAsia="ru-RU"/>
        </w:rPr>
        <w:t xml:space="preserve"> Федерации, являющихся органами местного самоуправления </w:t>
      </w:r>
      <w:proofErr w:type="spellStart"/>
      <w:r w:rsidRPr="00D63B8A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(или) находящимися в их  ведении казенного учреждениями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63B8A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</w:t>
      </w:r>
      <w:r w:rsidRPr="00D63B8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самоуправления </w:t>
      </w:r>
      <w:proofErr w:type="spellStart"/>
      <w:r w:rsidRPr="00D63B8A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(или) находящимися в их ведении казенными учреждениями (далее – Порядок, Главные администраторы), разработан в соответствии со статьей 160.1 Бюджетного кодекса Российской Федерации, пунктом 9 статьи 7 решения </w:t>
      </w:r>
      <w:proofErr w:type="spellStart"/>
      <w:r w:rsidRPr="00D63B8A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районного Совета депутатов от 29.10.2012 № 23/1-230 «О бюджетном процессе в муниципальном образовании</w:t>
      </w:r>
      <w:proofErr w:type="gramEnd"/>
      <w:r w:rsidRPr="00D63B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63B8A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63B8A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D63B8A" w:rsidRPr="00D63B8A" w:rsidRDefault="00D63B8A" w:rsidP="00D63B8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sz w:val="20"/>
          <w:szCs w:val="20"/>
          <w:lang w:eastAsia="ru-RU"/>
        </w:rPr>
        <w:t>В процессе осуществления бюджетных полномочий Главные администраторы: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sz w:val="20"/>
          <w:szCs w:val="20"/>
          <w:lang w:eastAsia="ru-RU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- Администраторы);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- доходы бюджетов) и устанавливающие перечень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администрируемых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доходов бюджетов;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в случае осуществления полномочий главных администраторов доходов бюджетов сельских поселений органами исполнительной власти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района принимают правовые акты, устанавливающие перечень органов исполнительной власти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района, являющихся администраторами доходов бюджетов сельских поселений, перечень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администрируемых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доходов бюджетов сельских поселений, а также порядок осуществления ими бюджетных полномочий администратора доходов бюджетов сельских поселений, и доводят их до соответствующих органов местного самоуправления поселений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района;</w:t>
      </w:r>
      <w:proofErr w:type="gramEnd"/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б) формируют и представляют в финансовое управление администрации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района следующие документы по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администрируемым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доходам: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сведения, необходимые для составления среднесрочного финансового плана и (или) проекта районного бюджета на очередной год и плановый период;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прогноз поступления доходов в сроки, установленные нормативными правовыми актами по форме согласно приложению 1 к настоящему Порядку;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аналитические материалы по исполнению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администрируемых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доходов бюджетов;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сведения, необходимые для составления и ведения кассового плана, в порядке и сроки, установленные финансовым органом;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в) формируют и представляют сводную бюджетную отчетность Главного администратора по формам, в порядке и сроки, установленные финансовым управлением администрации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района;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бюджетов;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) исполняют полномочия Администратора в соответствии с принятыми ими правовыми актами об осуществлении полномочий администратора доходов бюджетов;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е) доводят правовые акты, указанные в </w:t>
      </w:r>
      <w:hyperlink w:anchor="P65">
        <w:r w:rsidRPr="00D63B8A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подпункте "а" пункта 2</w:t>
        </w:r>
      </w:hyperlink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Порядка, до Администраторов не позднее 5 рабочих дней со дня их принятия;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ж)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65">
        <w:r w:rsidRPr="00D63B8A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подпункте "а" пункта 2</w:t>
        </w:r>
      </w:hyperlink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Порядка;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) по согласованию с финансовым управлением администрации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района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</w:t>
      </w:r>
      <w:proofErr w:type="gram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Правительством Российской Федерации.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3. Правовые акты, указанные в </w:t>
      </w:r>
      <w:hyperlink w:anchor="P65">
        <w:r w:rsidRPr="00D63B8A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подпункте "а" пункта 2</w:t>
        </w:r>
      </w:hyperlink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Порядка, должны содержать: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а) определение порядка и сроков </w:t>
      </w:r>
      <w:proofErr w:type="gram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сверки</w:t>
      </w:r>
      <w:proofErr w:type="gram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данных бюджетного учета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администрируемых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доходов бюджетов в соответствии с нормативными правовыми актами Российской Федерации;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администрируемых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) иные положения, необходимые для реализации полномочий администратора доходов </w:t>
      </w: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бюджетов.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4. Главные администраторы, осуществляющие полномочия Администратора, устанавливают: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порядок обмена информацией между структурными подразделениями Главного администратора в целях организации учета </w:t>
      </w:r>
      <w:proofErr w:type="spellStart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администрируемых</w:t>
      </w:r>
      <w:proofErr w:type="spellEnd"/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порядок принятия решений о признании безнадежной к взысканию задолженности по платежам в районный бюджет, в отношении которых главные администраторы осуществляют полномочия администраторов доходов;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5. В случае изменения состава</w:t>
      </w:r>
      <w:r w:rsidRPr="00D63B8A">
        <w:rPr>
          <w:rFonts w:ascii="Arial" w:eastAsia="Times New Roman" w:hAnsi="Arial" w:cs="Arial"/>
          <w:sz w:val="20"/>
          <w:szCs w:val="20"/>
          <w:lang w:eastAsia="ru-RU"/>
        </w:rPr>
        <w:t xml:space="preserve"> и (или) функций Главных администраторов Главные администраторы в течение пяти дней с момента такого изменения доводят эту информацию до финансового управления администрации </w:t>
      </w:r>
      <w:proofErr w:type="spellStart"/>
      <w:r w:rsidRPr="00D63B8A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D63B8A" w:rsidRPr="00D63B8A" w:rsidRDefault="00D63B8A" w:rsidP="00D63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 xml:space="preserve">к Порядку осуществления бюджетных полномочий 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>главных администраторов доходов бюджетов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>бюджетной системы Российской Федерации,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gramStart"/>
      <w:r w:rsidRPr="00D63B8A">
        <w:rPr>
          <w:rFonts w:ascii="Arial" w:eastAsia="Times New Roman" w:hAnsi="Arial" w:cs="Arial"/>
          <w:sz w:val="18"/>
          <w:szCs w:val="20"/>
          <w:lang w:eastAsia="ru-RU"/>
        </w:rPr>
        <w:t>являющихся</w:t>
      </w:r>
      <w:proofErr w:type="gramEnd"/>
      <w:r w:rsidRPr="00D63B8A">
        <w:rPr>
          <w:rFonts w:ascii="Arial" w:eastAsia="Times New Roman" w:hAnsi="Arial" w:cs="Arial"/>
          <w:sz w:val="18"/>
          <w:szCs w:val="20"/>
          <w:lang w:eastAsia="ru-RU"/>
        </w:rPr>
        <w:t xml:space="preserve"> органами местного самоуправления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D63B8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63B8A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и (или) </w:t>
      </w:r>
      <w:proofErr w:type="gramStart"/>
      <w:r w:rsidRPr="00D63B8A">
        <w:rPr>
          <w:rFonts w:ascii="Arial" w:eastAsia="Times New Roman" w:hAnsi="Arial" w:cs="Arial"/>
          <w:sz w:val="18"/>
          <w:szCs w:val="20"/>
          <w:lang w:eastAsia="ru-RU"/>
        </w:rPr>
        <w:t>находящихся</w:t>
      </w:r>
      <w:proofErr w:type="gramEnd"/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 xml:space="preserve"> в их ведении казенными учреждениями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>ПРОГНОЗ ПОСТУПЛЕНИЙ ДОХОДОВ В РАЙОННЫЙ БЮДЖЕТ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>НА _____________________________ГОДЫ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D63B8A">
        <w:rPr>
          <w:rFonts w:ascii="Arial" w:eastAsia="Times New Roman" w:hAnsi="Arial" w:cs="Arial"/>
          <w:sz w:val="18"/>
          <w:szCs w:val="20"/>
          <w:lang w:eastAsia="ru-RU"/>
        </w:rPr>
        <w:t>(очередной и плановый период)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sz w:val="20"/>
          <w:szCs w:val="20"/>
          <w:lang w:eastAsia="ru-RU"/>
        </w:rPr>
        <w:t>Главный администратор_______________________________________________________________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sz w:val="20"/>
          <w:szCs w:val="20"/>
          <w:lang w:eastAsia="ru-RU"/>
        </w:rPr>
        <w:t>Единица измерения: тыс</w:t>
      </w:r>
      <w:proofErr w:type="gramStart"/>
      <w:r w:rsidRPr="00D63B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D63B8A">
        <w:rPr>
          <w:rFonts w:ascii="Arial" w:eastAsia="Times New Roman" w:hAnsi="Arial" w:cs="Arial"/>
          <w:sz w:val="20"/>
          <w:szCs w:val="20"/>
          <w:lang w:eastAsia="ru-RU"/>
        </w:rPr>
        <w:t>ублей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8"/>
        <w:tblW w:w="0" w:type="auto"/>
        <w:tblLook w:val="04A0"/>
      </w:tblPr>
      <w:tblGrid>
        <w:gridCol w:w="1680"/>
        <w:gridCol w:w="704"/>
        <w:gridCol w:w="1487"/>
        <w:gridCol w:w="1488"/>
        <w:gridCol w:w="1425"/>
        <w:gridCol w:w="1387"/>
        <w:gridCol w:w="700"/>
        <w:gridCol w:w="700"/>
      </w:tblGrid>
      <w:tr w:rsidR="00D63B8A" w:rsidRPr="00D63B8A" w:rsidTr="00AF7486">
        <w:tc>
          <w:tcPr>
            <w:tcW w:w="3838" w:type="dxa"/>
            <w:gridSpan w:val="2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919" w:type="dxa"/>
            <w:vMerge w:val="restart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Ожидаемое поступление в текущем финансовом году</w:t>
            </w:r>
          </w:p>
        </w:tc>
        <w:tc>
          <w:tcPr>
            <w:tcW w:w="1919" w:type="dxa"/>
            <w:vMerge w:val="restart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Прогноз поступлений на очередной финансовый год</w:t>
            </w:r>
          </w:p>
        </w:tc>
        <w:tc>
          <w:tcPr>
            <w:tcW w:w="1919" w:type="dxa"/>
            <w:vMerge w:val="restart"/>
            <w:vAlign w:val="center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Отклонения</w:t>
            </w:r>
            <w:proofErr w:type="gramStart"/>
            <w:r w:rsidRPr="00D63B8A">
              <w:rPr>
                <w:rFonts w:ascii="Arial" w:hAnsi="Arial" w:cs="Arial"/>
                <w:sz w:val="20"/>
                <w:szCs w:val="20"/>
              </w:rPr>
              <w:t xml:space="preserve"> (+;-)</w:t>
            </w:r>
            <w:proofErr w:type="gramEnd"/>
          </w:p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Причины отклонений</w:t>
            </w:r>
          </w:p>
        </w:tc>
        <w:tc>
          <w:tcPr>
            <w:tcW w:w="3838" w:type="dxa"/>
            <w:gridSpan w:val="2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</w:tr>
      <w:tr w:rsidR="00D63B8A" w:rsidRPr="00D63B8A" w:rsidTr="00AF7486">
        <w:trPr>
          <w:trHeight w:val="269"/>
        </w:trPr>
        <w:tc>
          <w:tcPr>
            <w:tcW w:w="1919" w:type="dxa"/>
            <w:vMerge w:val="restart"/>
            <w:vAlign w:val="center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19" w:type="dxa"/>
            <w:vMerge w:val="restart"/>
            <w:vAlign w:val="center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Код по КД</w:t>
            </w:r>
          </w:p>
        </w:tc>
        <w:tc>
          <w:tcPr>
            <w:tcW w:w="1919" w:type="dxa"/>
            <w:vMerge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>n+2</w:t>
            </w:r>
          </w:p>
        </w:tc>
        <w:tc>
          <w:tcPr>
            <w:tcW w:w="1919" w:type="dxa"/>
            <w:vMerge w:val="restart"/>
            <w:vAlign w:val="center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>n+3</w:t>
            </w:r>
          </w:p>
        </w:tc>
      </w:tr>
      <w:tr w:rsidR="00D63B8A" w:rsidRPr="00D63B8A" w:rsidTr="00AF7486">
        <w:tc>
          <w:tcPr>
            <w:tcW w:w="1919" w:type="dxa"/>
            <w:vMerge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63B8A">
              <w:rPr>
                <w:rFonts w:ascii="Arial" w:hAnsi="Arial" w:cs="Arial"/>
                <w:sz w:val="20"/>
                <w:szCs w:val="20"/>
              </w:rPr>
              <w:t>год</w:t>
            </w: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 xml:space="preserve"> n+1</w:t>
            </w: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5=4-3</w:t>
            </w:r>
          </w:p>
        </w:tc>
        <w:tc>
          <w:tcPr>
            <w:tcW w:w="1919" w:type="dxa"/>
            <w:vMerge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8A" w:rsidRPr="00D63B8A" w:rsidTr="00AF7486"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B8A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D63B8A" w:rsidRPr="00D63B8A" w:rsidTr="00AF7486"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8A" w:rsidRPr="00D63B8A" w:rsidTr="00AF7486"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D63B8A" w:rsidRPr="00D63B8A" w:rsidRDefault="00D63B8A" w:rsidP="00AF7486">
            <w:pPr>
              <w:widowControl w:val="0"/>
              <w:suppressAutoHyphens/>
              <w:ind w:right="6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sz w:val="20"/>
          <w:szCs w:val="20"/>
          <w:lang w:eastAsia="ru-RU"/>
        </w:rPr>
        <w:t>Руководитель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sz w:val="20"/>
          <w:szCs w:val="20"/>
          <w:lang w:eastAsia="ru-RU"/>
        </w:rPr>
        <w:t>Главного администратора   _________________________     __________________________________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(подпись)                               (расшифровка подписи)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sz w:val="20"/>
          <w:szCs w:val="20"/>
          <w:lang w:eastAsia="ru-RU"/>
        </w:rPr>
        <w:t>Исполнитель, телефон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63B8A">
        <w:rPr>
          <w:rFonts w:ascii="Arial" w:eastAsia="Times New Roman" w:hAnsi="Arial" w:cs="Arial"/>
          <w:sz w:val="20"/>
          <w:szCs w:val="20"/>
          <w:lang w:eastAsia="ru-RU"/>
        </w:rPr>
        <w:t>«____» _________________20____г.</w:t>
      </w:r>
    </w:p>
    <w:p w:rsidR="00D63B8A" w:rsidRPr="00D63B8A" w:rsidRDefault="00D63B8A" w:rsidP="00D63B8A">
      <w:pPr>
        <w:widowControl w:val="0"/>
        <w:shd w:val="clear" w:color="auto" w:fill="FFFFFF"/>
        <w:suppressAutoHyphens/>
        <w:spacing w:after="0" w:line="240" w:lineRule="auto"/>
        <w:ind w:right="6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3B8A"/>
    <w:rsid w:val="001C7AC8"/>
    <w:rsid w:val="00D63B8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8">
    <w:name w:val="Сетка таблицы88"/>
    <w:basedOn w:val="a1"/>
    <w:next w:val="a3"/>
    <w:uiPriority w:val="59"/>
    <w:rsid w:val="00D63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63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D6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D63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gadm.ru/regulatory/1060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2023-11-07T08:18:00Z</dcterms:created>
  <dcterms:modified xsi:type="dcterms:W3CDTF">2023-11-07T08:19:00Z</dcterms:modified>
</cp:coreProperties>
</file>