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A9" w:rsidRPr="00071B2A" w:rsidRDefault="00DF03A9" w:rsidP="00DF03A9">
      <w:pPr>
        <w:ind w:firstLine="720"/>
        <w:jc w:val="center"/>
      </w:pPr>
      <w:r w:rsidRPr="00DB761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2947670</wp:posOffset>
            </wp:positionH>
            <wp:positionV relativeFrom="paragraph">
              <wp:posOffset>-140335</wp:posOffset>
            </wp:positionV>
            <wp:extent cx="547370" cy="676275"/>
            <wp:effectExtent l="19050" t="0" r="5080" b="0"/>
            <wp:wrapNone/>
            <wp:docPr id="3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3A9" w:rsidRPr="00895FBF" w:rsidRDefault="00DF03A9" w:rsidP="00DF03A9">
      <w:pPr>
        <w:pStyle w:val="1"/>
        <w:ind w:firstLine="720"/>
        <w:rPr>
          <w:b w:val="0"/>
          <w:szCs w:val="28"/>
        </w:rPr>
      </w:pPr>
    </w:p>
    <w:p w:rsidR="00DF03A9" w:rsidRDefault="00DF03A9" w:rsidP="00DF03A9">
      <w:pPr>
        <w:ind w:firstLine="720"/>
        <w:jc w:val="center"/>
        <w:rPr>
          <w:b/>
          <w:sz w:val="28"/>
          <w:szCs w:val="28"/>
        </w:rPr>
      </w:pPr>
    </w:p>
    <w:p w:rsidR="00DF03A9" w:rsidRPr="00AB5D06" w:rsidRDefault="00DF03A9" w:rsidP="00DF03A9">
      <w:pPr>
        <w:ind w:firstLine="720"/>
        <w:jc w:val="center"/>
        <w:rPr>
          <w:sz w:val="28"/>
          <w:szCs w:val="28"/>
        </w:rPr>
      </w:pPr>
      <w:r w:rsidRPr="00AB5D06">
        <w:rPr>
          <w:sz w:val="28"/>
          <w:szCs w:val="28"/>
        </w:rPr>
        <w:t>БОГУЧАНСКИЙ РАЙОННЫЙ СОВЕТ ДЕПУТАТОВ</w:t>
      </w:r>
    </w:p>
    <w:p w:rsidR="00DF03A9" w:rsidRPr="00AB5D06" w:rsidRDefault="00DF03A9" w:rsidP="00DF03A9">
      <w:pPr>
        <w:ind w:firstLine="720"/>
        <w:jc w:val="center"/>
        <w:rPr>
          <w:sz w:val="28"/>
          <w:szCs w:val="28"/>
        </w:rPr>
      </w:pPr>
    </w:p>
    <w:p w:rsidR="00DF03A9" w:rsidRPr="00AB5D06" w:rsidRDefault="00DF03A9" w:rsidP="00DF03A9">
      <w:pPr>
        <w:ind w:firstLine="720"/>
        <w:jc w:val="center"/>
        <w:rPr>
          <w:sz w:val="28"/>
          <w:szCs w:val="28"/>
        </w:rPr>
      </w:pPr>
      <w:r w:rsidRPr="00AB5D06">
        <w:rPr>
          <w:sz w:val="28"/>
          <w:szCs w:val="28"/>
        </w:rPr>
        <w:t xml:space="preserve">РЕШЕНИЕ </w:t>
      </w:r>
      <w:r w:rsidR="00F720AD">
        <w:rPr>
          <w:sz w:val="28"/>
          <w:szCs w:val="28"/>
        </w:rPr>
        <w:t>(ПРОЕКТ)</w:t>
      </w:r>
    </w:p>
    <w:p w:rsidR="00DF03A9" w:rsidRPr="00AB5D06" w:rsidRDefault="00DF03A9" w:rsidP="00DF03A9">
      <w:pPr>
        <w:ind w:firstLine="720"/>
        <w:jc w:val="center"/>
        <w:rPr>
          <w:sz w:val="28"/>
          <w:szCs w:val="28"/>
        </w:rPr>
      </w:pPr>
    </w:p>
    <w:p w:rsidR="00DF03A9" w:rsidRPr="00AB5D06" w:rsidRDefault="00DF03A9" w:rsidP="00DF03A9">
      <w:pPr>
        <w:rPr>
          <w:sz w:val="28"/>
          <w:szCs w:val="28"/>
        </w:rPr>
      </w:pPr>
      <w:r w:rsidRPr="00AB5D06">
        <w:rPr>
          <w:sz w:val="28"/>
          <w:szCs w:val="28"/>
        </w:rPr>
        <w:t xml:space="preserve">                  2022                                      с. </w:t>
      </w:r>
      <w:proofErr w:type="spellStart"/>
      <w:r w:rsidRPr="00AB5D06">
        <w:rPr>
          <w:sz w:val="28"/>
          <w:szCs w:val="28"/>
        </w:rPr>
        <w:t>Богучаны</w:t>
      </w:r>
      <w:proofErr w:type="spellEnd"/>
      <w:r w:rsidRPr="00AB5D06">
        <w:rPr>
          <w:sz w:val="28"/>
          <w:szCs w:val="28"/>
        </w:rPr>
        <w:t xml:space="preserve">                               № </w:t>
      </w:r>
    </w:p>
    <w:p w:rsidR="00DF03A9" w:rsidRPr="00AB5D06" w:rsidRDefault="00DF03A9" w:rsidP="00DF03A9">
      <w:pPr>
        <w:jc w:val="center"/>
        <w:rPr>
          <w:sz w:val="28"/>
          <w:szCs w:val="28"/>
        </w:rPr>
      </w:pPr>
    </w:p>
    <w:p w:rsidR="00DF03A9" w:rsidRPr="00AB5D06" w:rsidRDefault="00DF03A9" w:rsidP="00DF03A9">
      <w:pPr>
        <w:jc w:val="both"/>
        <w:rPr>
          <w:sz w:val="28"/>
          <w:szCs w:val="28"/>
        </w:rPr>
      </w:pPr>
      <w:r w:rsidRPr="00AB5D06">
        <w:rPr>
          <w:sz w:val="28"/>
          <w:szCs w:val="28"/>
        </w:rPr>
        <w:t>Об утверждении Методики распределения  в 2022 году иных межбюджетных трансфертов из районного бюджета  бюджетам поселений Богучанского района  на фи</w:t>
      </w:r>
      <w:r w:rsidR="00485129" w:rsidRPr="00AB5D06">
        <w:rPr>
          <w:sz w:val="28"/>
          <w:szCs w:val="28"/>
        </w:rPr>
        <w:t>нансовое обеспечение (возмещение</w:t>
      </w:r>
      <w:r w:rsidRPr="00AB5D06">
        <w:rPr>
          <w:sz w:val="28"/>
          <w:szCs w:val="28"/>
        </w:rPr>
        <w:t xml:space="preserve">) расходных обязательств </w:t>
      </w:r>
      <w:r w:rsidR="00285FF4" w:rsidRPr="00AB5D06">
        <w:rPr>
          <w:sz w:val="28"/>
          <w:szCs w:val="28"/>
        </w:rPr>
        <w:t>поселений</w:t>
      </w:r>
      <w:r w:rsidRPr="00AB5D06">
        <w:rPr>
          <w:sz w:val="28"/>
          <w:szCs w:val="28"/>
        </w:rPr>
        <w:t xml:space="preserve"> Богучанского района, связанных с увеличением с 1 июня 2022 года региональных выплат, и правил их предоставления</w:t>
      </w:r>
    </w:p>
    <w:p w:rsidR="00DF03A9" w:rsidRPr="00AB5D06" w:rsidRDefault="00DF03A9" w:rsidP="00DF03A9">
      <w:pPr>
        <w:jc w:val="both"/>
        <w:rPr>
          <w:sz w:val="28"/>
          <w:szCs w:val="28"/>
        </w:rPr>
      </w:pPr>
    </w:p>
    <w:p w:rsidR="00DF03A9" w:rsidRPr="00AB5D06" w:rsidRDefault="00DF03A9" w:rsidP="00DF03A9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5D0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AB5D06">
          <w:rPr>
            <w:rFonts w:ascii="Times New Roman" w:hAnsi="Times New Roman" w:cs="Times New Roman"/>
            <w:color w:val="0000FF"/>
            <w:sz w:val="28"/>
            <w:szCs w:val="28"/>
          </w:rPr>
          <w:t>статьей 142.4</w:t>
        </w:r>
      </w:hyperlink>
      <w:r w:rsidRPr="00AB5D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4A52E9" w:rsidRPr="00AB5D06">
        <w:rPr>
          <w:rFonts w:ascii="Times New Roman" w:hAnsi="Times New Roman" w:cs="Times New Roman"/>
          <w:sz w:val="28"/>
          <w:szCs w:val="28"/>
        </w:rPr>
        <w:t xml:space="preserve">ст.10 Положения о межбюджетных </w:t>
      </w:r>
      <w:r w:rsidR="00485129" w:rsidRPr="00AB5D06">
        <w:rPr>
          <w:rFonts w:ascii="Times New Roman" w:hAnsi="Times New Roman" w:cs="Times New Roman"/>
          <w:sz w:val="28"/>
          <w:szCs w:val="28"/>
        </w:rPr>
        <w:t>отношениях</w:t>
      </w:r>
      <w:r w:rsidR="004A52E9" w:rsidRPr="00AB5D06">
        <w:rPr>
          <w:rFonts w:ascii="Times New Roman" w:hAnsi="Times New Roman" w:cs="Times New Roman"/>
          <w:sz w:val="28"/>
          <w:szCs w:val="28"/>
        </w:rPr>
        <w:t xml:space="preserve">  в муниципальном образовании </w:t>
      </w:r>
      <w:proofErr w:type="spellStart"/>
      <w:r w:rsidR="004A52E9" w:rsidRPr="00AB5D06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="004A52E9" w:rsidRPr="00AB5D06">
        <w:rPr>
          <w:rFonts w:ascii="Times New Roman" w:hAnsi="Times New Roman" w:cs="Times New Roman"/>
          <w:sz w:val="28"/>
          <w:szCs w:val="28"/>
        </w:rPr>
        <w:t xml:space="preserve"> район, утвержденно</w:t>
      </w:r>
      <w:r w:rsidR="00D75FA1" w:rsidRPr="00AB5D06">
        <w:rPr>
          <w:rFonts w:ascii="Times New Roman" w:hAnsi="Times New Roman" w:cs="Times New Roman"/>
          <w:sz w:val="28"/>
          <w:szCs w:val="28"/>
        </w:rPr>
        <w:t xml:space="preserve">го </w:t>
      </w:r>
      <w:r w:rsidR="004A52E9" w:rsidRPr="00AB5D06">
        <w:rPr>
          <w:rFonts w:ascii="Times New Roman" w:hAnsi="Times New Roman" w:cs="Times New Roman"/>
          <w:sz w:val="28"/>
          <w:szCs w:val="28"/>
        </w:rPr>
        <w:t>решением Богучанского районного Совета депутатов от 08.06.2010 № 3/2-32,</w:t>
      </w:r>
      <w:r w:rsidRPr="00AB5D0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B5D06">
          <w:rPr>
            <w:rFonts w:ascii="Times New Roman" w:hAnsi="Times New Roman" w:cs="Times New Roman"/>
            <w:color w:val="0000FF"/>
            <w:sz w:val="28"/>
            <w:szCs w:val="28"/>
          </w:rPr>
          <w:t>статьями 32,36</w:t>
        </w:r>
      </w:hyperlink>
      <w:r w:rsidRPr="00AB5D06">
        <w:t xml:space="preserve"> </w:t>
      </w:r>
      <w:r w:rsidRPr="00AB5D06">
        <w:rPr>
          <w:rFonts w:ascii="Times New Roman" w:hAnsi="Times New Roman" w:cs="Times New Roman"/>
          <w:sz w:val="28"/>
          <w:szCs w:val="28"/>
        </w:rPr>
        <w:t xml:space="preserve">Устава  Богучанского района Красноярского края, </w:t>
      </w:r>
      <w:proofErr w:type="spellStart"/>
      <w:r w:rsidRPr="00AB5D06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Pr="00AB5D06">
        <w:rPr>
          <w:rFonts w:ascii="Times New Roman" w:hAnsi="Times New Roman" w:cs="Times New Roman"/>
          <w:sz w:val="28"/>
          <w:szCs w:val="28"/>
        </w:rPr>
        <w:t xml:space="preserve"> районный Совет депутатов, </w:t>
      </w:r>
    </w:p>
    <w:p w:rsidR="00DF03A9" w:rsidRPr="00AB5D06" w:rsidRDefault="00DF03A9" w:rsidP="00DF03A9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B5D06">
        <w:rPr>
          <w:rFonts w:ascii="Times New Roman" w:hAnsi="Times New Roman" w:cs="Times New Roman"/>
          <w:sz w:val="28"/>
          <w:szCs w:val="28"/>
        </w:rPr>
        <w:t>РЕШИЛ:</w:t>
      </w:r>
    </w:p>
    <w:p w:rsidR="00DF03A9" w:rsidRPr="004109EA" w:rsidRDefault="00DF03A9" w:rsidP="00DF03A9">
      <w:pPr>
        <w:ind w:firstLine="851"/>
        <w:jc w:val="both"/>
        <w:rPr>
          <w:sz w:val="28"/>
          <w:szCs w:val="28"/>
        </w:rPr>
      </w:pPr>
      <w:r w:rsidRPr="004109EA">
        <w:rPr>
          <w:sz w:val="28"/>
          <w:szCs w:val="28"/>
        </w:rPr>
        <w:t xml:space="preserve">1. Утвердить </w:t>
      </w:r>
      <w:r w:rsidR="004A52E9">
        <w:rPr>
          <w:sz w:val="28"/>
          <w:szCs w:val="28"/>
        </w:rPr>
        <w:t>Методику</w:t>
      </w:r>
      <w:r w:rsidR="004A52E9" w:rsidRPr="004A52E9">
        <w:rPr>
          <w:sz w:val="28"/>
          <w:szCs w:val="28"/>
        </w:rPr>
        <w:t xml:space="preserve"> распределения  в 2022 году иных межбюджетных трансфертов из районного бюджета  бюджетам поселений Богучанского района  на фи</w:t>
      </w:r>
      <w:r w:rsidR="00485129">
        <w:rPr>
          <w:sz w:val="28"/>
          <w:szCs w:val="28"/>
        </w:rPr>
        <w:t>нансовое обеспечение (возмещение</w:t>
      </w:r>
      <w:r w:rsidR="004A52E9" w:rsidRPr="004A52E9">
        <w:rPr>
          <w:sz w:val="28"/>
          <w:szCs w:val="28"/>
        </w:rPr>
        <w:t xml:space="preserve">) расходных обязательств </w:t>
      </w:r>
      <w:r w:rsidR="00285FF4">
        <w:rPr>
          <w:sz w:val="28"/>
          <w:szCs w:val="28"/>
        </w:rPr>
        <w:t>поселений</w:t>
      </w:r>
      <w:r w:rsidR="004A52E9" w:rsidRPr="004A52E9">
        <w:rPr>
          <w:sz w:val="28"/>
          <w:szCs w:val="28"/>
        </w:rPr>
        <w:t xml:space="preserve"> Богучанского района, связанных с увеличением с 1 июня 2022 года региональных выплат, и правил их предоставления</w:t>
      </w:r>
      <w:r w:rsidRPr="00A148D3">
        <w:rPr>
          <w:sz w:val="28"/>
          <w:szCs w:val="28"/>
        </w:rPr>
        <w:t xml:space="preserve"> </w:t>
      </w:r>
      <w:r w:rsidRPr="004109EA">
        <w:rPr>
          <w:sz w:val="28"/>
          <w:szCs w:val="28"/>
        </w:rPr>
        <w:t>согласно приложению.</w:t>
      </w:r>
    </w:p>
    <w:p w:rsidR="00DF03A9" w:rsidRPr="00070463" w:rsidRDefault="00DF03A9" w:rsidP="00DF03A9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0463">
        <w:rPr>
          <w:sz w:val="28"/>
          <w:szCs w:val="28"/>
        </w:rPr>
        <w:t xml:space="preserve">2. </w:t>
      </w:r>
      <w:proofErr w:type="gramStart"/>
      <w:r w:rsidRPr="00070463">
        <w:rPr>
          <w:sz w:val="28"/>
          <w:szCs w:val="28"/>
        </w:rPr>
        <w:t>Контроль за</w:t>
      </w:r>
      <w:proofErr w:type="gramEnd"/>
      <w:r w:rsidRPr="00070463">
        <w:rPr>
          <w:sz w:val="28"/>
          <w:szCs w:val="28"/>
        </w:rPr>
        <w:t xml:space="preserve"> исполнением настоящего решения возложить  на постоянную комиссию по бюджету, финансам, налоговой политике, экономике и муниципальной собственности (А.Н.Горбачев).</w:t>
      </w:r>
    </w:p>
    <w:p w:rsidR="00DF03A9" w:rsidRPr="00070463" w:rsidRDefault="00DF03A9" w:rsidP="00DF03A9">
      <w:pPr>
        <w:ind w:left="142" w:firstLine="578"/>
        <w:jc w:val="both"/>
        <w:rPr>
          <w:sz w:val="28"/>
          <w:szCs w:val="28"/>
        </w:rPr>
      </w:pPr>
      <w:r w:rsidRPr="00070463">
        <w:rPr>
          <w:sz w:val="28"/>
          <w:szCs w:val="28"/>
        </w:rPr>
        <w:t xml:space="preserve"> 3. Настоящее решение    вступает в силу   в </w:t>
      </w:r>
      <w:proofErr w:type="gramStart"/>
      <w:r w:rsidRPr="00070463">
        <w:rPr>
          <w:sz w:val="28"/>
          <w:szCs w:val="28"/>
        </w:rPr>
        <w:t xml:space="preserve">день,  следующий за днем    его официального опубликования в Официальном вестнике Богучанского района и </w:t>
      </w:r>
      <w:r>
        <w:rPr>
          <w:sz w:val="28"/>
          <w:szCs w:val="28"/>
        </w:rPr>
        <w:t>применяется</w:t>
      </w:r>
      <w:proofErr w:type="gramEnd"/>
      <w:r>
        <w:rPr>
          <w:sz w:val="28"/>
          <w:szCs w:val="28"/>
        </w:rPr>
        <w:t xml:space="preserve"> в отношении иных межбюджетных трансфертов, предоставляемых из районного бюджета, начиная с 1 </w:t>
      </w:r>
      <w:r w:rsidR="004A52E9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2022 года</w:t>
      </w:r>
      <w:r w:rsidRPr="00070463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03A9" w:rsidRPr="00070463" w:rsidRDefault="00DF03A9" w:rsidP="00DF03A9">
      <w:pPr>
        <w:ind w:left="142" w:firstLine="578"/>
        <w:jc w:val="both"/>
        <w:rPr>
          <w:sz w:val="28"/>
          <w:szCs w:val="28"/>
        </w:rPr>
      </w:pPr>
    </w:p>
    <w:p w:rsidR="00DF03A9" w:rsidRPr="00070463" w:rsidRDefault="00DF03A9" w:rsidP="00DF03A9">
      <w:pPr>
        <w:ind w:left="142" w:firstLine="578"/>
        <w:jc w:val="both"/>
        <w:rPr>
          <w:sz w:val="28"/>
          <w:szCs w:val="28"/>
        </w:rPr>
      </w:pPr>
    </w:p>
    <w:tbl>
      <w:tblPr>
        <w:tblStyle w:val="a5"/>
        <w:tblW w:w="9425" w:type="dxa"/>
        <w:tblLook w:val="04A0"/>
      </w:tblPr>
      <w:tblGrid>
        <w:gridCol w:w="4644"/>
        <w:gridCol w:w="4781"/>
      </w:tblGrid>
      <w:tr w:rsidR="00DF03A9" w:rsidRPr="00070463" w:rsidTr="00B206C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F03A9" w:rsidRPr="00070463" w:rsidRDefault="00DF03A9" w:rsidP="00B206C9">
            <w:pPr>
              <w:tabs>
                <w:tab w:val="left" w:pos="4111"/>
              </w:tabs>
              <w:ind w:left="142" w:right="5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Богучанского районного Совета депутатов </w:t>
            </w:r>
          </w:p>
          <w:p w:rsidR="00DF03A9" w:rsidRPr="00070463" w:rsidRDefault="00F52CB0" w:rsidP="00B206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3A9"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2E9">
              <w:rPr>
                <w:rFonts w:ascii="Times New Roman" w:hAnsi="Times New Roman" w:cs="Times New Roman"/>
                <w:sz w:val="28"/>
                <w:szCs w:val="28"/>
              </w:rPr>
              <w:t>О.А.Шишкова</w:t>
            </w:r>
          </w:p>
          <w:p w:rsidR="00DF03A9" w:rsidRPr="00070463" w:rsidRDefault="00DF03A9" w:rsidP="00B206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DF03A9" w:rsidRPr="00070463" w:rsidRDefault="00DF03A9" w:rsidP="00B206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  «   »                       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2CB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1B50EF" w:rsidRDefault="00DF03A9" w:rsidP="00B206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          Глава </w:t>
            </w:r>
          </w:p>
          <w:p w:rsidR="00DF03A9" w:rsidRPr="00070463" w:rsidRDefault="001B50EF" w:rsidP="00B206C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DF03A9" w:rsidRPr="00070463"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 w:rsidR="00DF03A9"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4A52E9" w:rsidRDefault="001B50EF" w:rsidP="001B50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52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2E9">
              <w:rPr>
                <w:rFonts w:ascii="Times New Roman" w:hAnsi="Times New Roman" w:cs="Times New Roman"/>
                <w:sz w:val="28"/>
                <w:szCs w:val="28"/>
              </w:rPr>
              <w:t>А.С.Медведев</w:t>
            </w:r>
            <w:r w:rsidR="00DF03A9"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3A9" w:rsidRPr="00070463" w:rsidRDefault="00DF03A9" w:rsidP="001B50EF">
            <w:pPr>
              <w:ind w:left="744" w:hanging="24"/>
              <w:rPr>
                <w:rFonts w:ascii="Times New Roman" w:hAnsi="Times New Roman" w:cs="Times New Roman"/>
                <w:sz w:val="28"/>
                <w:szCs w:val="28"/>
              </w:rPr>
            </w:pPr>
            <w:r w:rsidRPr="0007046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DF03A9" w:rsidRPr="00070463" w:rsidRDefault="00F52CB0" w:rsidP="00B206C9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  </w:t>
            </w:r>
            <w:r w:rsidR="00DF03A9" w:rsidRPr="000704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DF03A9" w:rsidRPr="0007046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F0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F03A9" w:rsidRPr="00070463" w:rsidRDefault="00DF03A9" w:rsidP="00B206C9">
            <w:pPr>
              <w:ind w:left="142" w:firstLine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03A9" w:rsidRDefault="00DF03A9" w:rsidP="00DF03A9"/>
    <w:p w:rsidR="00DF03A9" w:rsidRDefault="00DF03A9" w:rsidP="00DF03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226A" w:rsidRDefault="0081226A" w:rsidP="00DF03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50EF" w:rsidRDefault="001B50EF" w:rsidP="00DF03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52E9" w:rsidRDefault="004A52E9" w:rsidP="004A52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A52E9" w:rsidRDefault="004A52E9" w:rsidP="004A52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Богучанского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2E9" w:rsidRDefault="004A52E9" w:rsidP="004A52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4A52E9" w:rsidRDefault="004A52E9" w:rsidP="004A52E9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от___________ № ________</w:t>
      </w:r>
    </w:p>
    <w:p w:rsidR="00DF03A9" w:rsidRDefault="00DF03A9" w:rsidP="00DF03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03A9" w:rsidRDefault="00DF03A9" w:rsidP="00DF03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F03A9" w:rsidRDefault="00DF03A9" w:rsidP="00DF03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52E9" w:rsidRPr="004A52E9" w:rsidRDefault="004A52E9" w:rsidP="004A52E9">
      <w:pPr>
        <w:autoSpaceDE w:val="0"/>
        <w:autoSpaceDN w:val="0"/>
        <w:adjustRightInd w:val="0"/>
        <w:jc w:val="center"/>
        <w:rPr>
          <w:b/>
          <w:bCs/>
        </w:rPr>
      </w:pPr>
      <w:r w:rsidRPr="004A52E9">
        <w:rPr>
          <w:b/>
          <w:bCs/>
        </w:rPr>
        <w:t>МЕТОДИКА</w:t>
      </w:r>
    </w:p>
    <w:p w:rsidR="004A52E9" w:rsidRPr="004A52E9" w:rsidRDefault="004A52E9" w:rsidP="004A52E9">
      <w:pPr>
        <w:autoSpaceDE w:val="0"/>
        <w:autoSpaceDN w:val="0"/>
        <w:adjustRightInd w:val="0"/>
        <w:jc w:val="center"/>
        <w:rPr>
          <w:b/>
          <w:bCs/>
        </w:rPr>
      </w:pPr>
      <w:r w:rsidRPr="004A52E9">
        <w:rPr>
          <w:b/>
          <w:bCs/>
        </w:rPr>
        <w:t>РАСПРЕДЕЛЕНИЯ В 2022 ГОДУ ИНЫХ МЕЖБЮДЖЕТНЫХ ТРАНСФЕРТОВ</w:t>
      </w:r>
    </w:p>
    <w:p w:rsidR="004A52E9" w:rsidRPr="004A52E9" w:rsidRDefault="004A52E9" w:rsidP="004A52E9">
      <w:pPr>
        <w:autoSpaceDE w:val="0"/>
        <w:autoSpaceDN w:val="0"/>
        <w:adjustRightInd w:val="0"/>
        <w:jc w:val="center"/>
        <w:rPr>
          <w:b/>
          <w:bCs/>
        </w:rPr>
      </w:pPr>
      <w:r w:rsidRPr="004A52E9">
        <w:rPr>
          <w:b/>
          <w:bCs/>
        </w:rPr>
        <w:t xml:space="preserve">ИЗ </w:t>
      </w:r>
      <w:r w:rsidR="00285FF4">
        <w:rPr>
          <w:b/>
          <w:bCs/>
        </w:rPr>
        <w:t>РАЙОННОГО</w:t>
      </w:r>
      <w:r w:rsidRPr="004A52E9">
        <w:rPr>
          <w:b/>
          <w:bCs/>
        </w:rPr>
        <w:t xml:space="preserve"> БЮДЖЕТА БЮДЖЕТАМ </w:t>
      </w:r>
      <w:r w:rsidR="00285FF4">
        <w:rPr>
          <w:b/>
          <w:bCs/>
        </w:rPr>
        <w:t>ПОСЕЛЕНИЙ БОГУЧАНСКОГО РАЙОНА</w:t>
      </w:r>
      <w:r w:rsidRPr="004A52E9">
        <w:rPr>
          <w:b/>
          <w:bCs/>
        </w:rPr>
        <w:t xml:space="preserve"> НА ФИНАНСОВОЕ ОБЕСПЕЧЕНИЕ (ВОЗМЕЩЕНИЕ)</w:t>
      </w:r>
    </w:p>
    <w:p w:rsidR="004A52E9" w:rsidRPr="004A52E9" w:rsidRDefault="004A52E9" w:rsidP="004A52E9">
      <w:pPr>
        <w:autoSpaceDE w:val="0"/>
        <w:autoSpaceDN w:val="0"/>
        <w:adjustRightInd w:val="0"/>
        <w:jc w:val="center"/>
        <w:rPr>
          <w:b/>
          <w:bCs/>
        </w:rPr>
      </w:pPr>
      <w:r w:rsidRPr="004A52E9">
        <w:rPr>
          <w:b/>
          <w:bCs/>
        </w:rPr>
        <w:t xml:space="preserve">РАСХОДНЫХ ОБЯЗАТЕЛЬСТВ </w:t>
      </w:r>
      <w:r w:rsidR="00285FF4">
        <w:rPr>
          <w:b/>
          <w:bCs/>
        </w:rPr>
        <w:t>ПОСЕЛЕНИЙ БОГУЧАНСКОГО РАЙОНА</w:t>
      </w:r>
      <w:r w:rsidRPr="004A52E9">
        <w:rPr>
          <w:b/>
          <w:bCs/>
        </w:rPr>
        <w:t>, СВЯЗАННЫХ С УВЕЛИЧЕНИЕМ С 1 ИЮНЯ</w:t>
      </w:r>
      <w:r w:rsidR="00285FF4">
        <w:rPr>
          <w:b/>
          <w:bCs/>
        </w:rPr>
        <w:t xml:space="preserve"> </w:t>
      </w:r>
      <w:r w:rsidRPr="004A52E9">
        <w:rPr>
          <w:b/>
          <w:bCs/>
        </w:rPr>
        <w:t>2022 ГОДА РЕГИОНАЛЬНЫХ ВЫПЛАТ, И ПРАВИЛА ИХ ПРЕДОСТАВЛЕНИЯ</w:t>
      </w:r>
    </w:p>
    <w:p w:rsidR="004A52E9" w:rsidRPr="004A52E9" w:rsidRDefault="004A52E9" w:rsidP="004A52E9">
      <w:pPr>
        <w:autoSpaceDE w:val="0"/>
        <w:autoSpaceDN w:val="0"/>
        <w:adjustRightInd w:val="0"/>
        <w:jc w:val="both"/>
        <w:outlineLvl w:val="0"/>
      </w:pPr>
    </w:p>
    <w:p w:rsidR="004A52E9" w:rsidRPr="004A52E9" w:rsidRDefault="004A52E9" w:rsidP="004A52E9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A52E9">
        <w:rPr>
          <w:b/>
          <w:bCs/>
        </w:rPr>
        <w:t>1. ОБЩИЕ ПОЛОЖЕНИЯ</w:t>
      </w:r>
    </w:p>
    <w:p w:rsidR="004A52E9" w:rsidRDefault="004A52E9" w:rsidP="004A52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2E9" w:rsidRDefault="004A52E9" w:rsidP="004A52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Методика распределения в 2022 году иных межбюджетных трансфертов из </w:t>
      </w:r>
      <w:r w:rsidR="00285FF4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бюджетам </w:t>
      </w:r>
      <w:r w:rsidR="00285FF4">
        <w:rPr>
          <w:sz w:val="28"/>
          <w:szCs w:val="28"/>
        </w:rPr>
        <w:t>поселений Богучанского района</w:t>
      </w:r>
      <w:r>
        <w:rPr>
          <w:sz w:val="28"/>
          <w:szCs w:val="28"/>
        </w:rPr>
        <w:t xml:space="preserve"> на финансовое обеспечение (возмещение) расходных обязательств </w:t>
      </w:r>
      <w:r w:rsidR="00285FF4">
        <w:rPr>
          <w:sz w:val="28"/>
          <w:szCs w:val="28"/>
        </w:rPr>
        <w:t>поселений Богучанского района</w:t>
      </w:r>
      <w:r>
        <w:rPr>
          <w:sz w:val="28"/>
          <w:szCs w:val="28"/>
        </w:rPr>
        <w:t xml:space="preserve">, связанных с увеличением с 1 июня 2022 года региональных выплат, и правила их предоставления (далее - Правила) устанавливают процедуры распределения и предоставления иных межбюджетных трансфертов из </w:t>
      </w:r>
      <w:r w:rsidR="00285FF4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бюджетам </w:t>
      </w:r>
      <w:r w:rsidR="00285FF4">
        <w:rPr>
          <w:sz w:val="28"/>
          <w:szCs w:val="28"/>
        </w:rPr>
        <w:t>поселений Богучанского района</w:t>
      </w:r>
      <w:r>
        <w:rPr>
          <w:sz w:val="28"/>
          <w:szCs w:val="28"/>
        </w:rPr>
        <w:t xml:space="preserve"> на финансовое обеспечение (возмещение) расходных</w:t>
      </w:r>
      <w:proofErr w:type="gramEnd"/>
      <w:r>
        <w:rPr>
          <w:sz w:val="28"/>
          <w:szCs w:val="28"/>
        </w:rPr>
        <w:t xml:space="preserve"> обязательств </w:t>
      </w:r>
      <w:r w:rsidR="00285FF4">
        <w:rPr>
          <w:sz w:val="28"/>
          <w:szCs w:val="28"/>
        </w:rPr>
        <w:t>поселений Богучанского района</w:t>
      </w:r>
      <w:r>
        <w:rPr>
          <w:sz w:val="28"/>
          <w:szCs w:val="28"/>
        </w:rPr>
        <w:t xml:space="preserve">, связанных с увеличением с 1 июня 2022 года региональных выплат (далее - </w:t>
      </w:r>
      <w:r w:rsidR="00451CA0">
        <w:rPr>
          <w:sz w:val="28"/>
          <w:szCs w:val="28"/>
        </w:rPr>
        <w:t>и</w:t>
      </w:r>
      <w:r>
        <w:rPr>
          <w:sz w:val="28"/>
          <w:szCs w:val="28"/>
        </w:rPr>
        <w:t>ной межбюджетный трансферт).</w:t>
      </w:r>
    </w:p>
    <w:p w:rsidR="00285FF4" w:rsidRDefault="00285FF4" w:rsidP="0028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Главным распорядителем средств районного бюджета по предоставлению </w:t>
      </w:r>
      <w:r w:rsidR="00451CA0">
        <w:rPr>
          <w:sz w:val="28"/>
          <w:szCs w:val="28"/>
        </w:rPr>
        <w:t>и</w:t>
      </w:r>
      <w:r>
        <w:rPr>
          <w:sz w:val="28"/>
          <w:szCs w:val="28"/>
        </w:rPr>
        <w:t>ного межбюджетного трансферта является финансовое управление администрации Богучанского района (далее – финансовое управление).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Иной межбюджетный трансферт предоставляется из районного бюджета бюджетам поселений Богучанского района (далее – поселения),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>, в том числе в полном объеме, расходных обязательств поселений, связанных с увеличением с 1 июня 2022 года региональных выплат.</w:t>
      </w:r>
    </w:p>
    <w:p w:rsidR="00285FF4" w:rsidRDefault="00285FF4" w:rsidP="00285FF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85FF4" w:rsidRDefault="00285FF4" w:rsidP="00285FF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ПРАВИЛА ПРЕДОСТАВЛЕНИЯ ИНЫХ МЕЖБЮДЖЕТНЫХ ТРАНСФЕРТОВ</w:t>
      </w:r>
    </w:p>
    <w:p w:rsidR="00285FF4" w:rsidRDefault="00285FF4" w:rsidP="00285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FF4" w:rsidRDefault="00285FF4" w:rsidP="0028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6"/>
      <w:bookmarkEnd w:id="0"/>
      <w:r>
        <w:rPr>
          <w:sz w:val="28"/>
          <w:szCs w:val="28"/>
        </w:rPr>
        <w:t>2.1. Иные межбюджетные трансферты предоставляются бюджетам поселений при соблюдении следующих условий: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размера заработной платы для целей расчета региональной выплаты для конкретного поселения в текущем финансовом году;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наличие муниципальных правовых актов органов местного самоуправления поселений, предусматривающих условия и порядок установления региональной выплаты, а также размеры заработной платы для </w:t>
      </w:r>
      <w:r>
        <w:rPr>
          <w:sz w:val="28"/>
          <w:szCs w:val="28"/>
        </w:rPr>
        <w:lastRenderedPageBreak/>
        <w:t xml:space="preserve">целей расчета региональной выплаты, аналогичные установленным </w:t>
      </w:r>
      <w:hyperlink r:id="rId7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Красноярского края от 29.10.2009 N 9-3864 "О системах оплаты труда работников краевых государственных учреждений" (далее - Закон края) для работников краевых государственных учреждений по </w:t>
      </w:r>
      <w:proofErr w:type="spellStart"/>
      <w:r w:rsidR="00AB5D06">
        <w:rPr>
          <w:sz w:val="28"/>
          <w:szCs w:val="28"/>
        </w:rPr>
        <w:t>Богучанскому</w:t>
      </w:r>
      <w:proofErr w:type="spellEnd"/>
      <w:r w:rsidR="00AB5D06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 (далее - муниципальный правовой акт);</w:t>
      </w:r>
      <w:proofErr w:type="gramEnd"/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региональной выплаты работникам муниципальных учреждений исходя из размеров заработной платы, не превышающих размеры заработной платы, установленные Законом края для целей расчета региональной выплаты работникам краевых государственных учреждений по </w:t>
      </w:r>
      <w:proofErr w:type="spellStart"/>
      <w:r w:rsidR="00AB5D06">
        <w:rPr>
          <w:sz w:val="28"/>
          <w:szCs w:val="28"/>
        </w:rPr>
        <w:t>Богучанскому</w:t>
      </w:r>
      <w:proofErr w:type="spellEnd"/>
      <w:r w:rsidR="00AB5D06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>.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Объем </w:t>
      </w:r>
      <w:r w:rsidR="00451CA0">
        <w:rPr>
          <w:sz w:val="28"/>
          <w:szCs w:val="28"/>
        </w:rPr>
        <w:t>и</w:t>
      </w:r>
      <w:r>
        <w:rPr>
          <w:sz w:val="28"/>
          <w:szCs w:val="28"/>
        </w:rPr>
        <w:t xml:space="preserve">ного межбюджетного трансферта конкретному поселению определяется в соответствии с </w:t>
      </w:r>
      <w:hyperlink w:anchor="Par20" w:history="1">
        <w:r>
          <w:rPr>
            <w:color w:val="0000FF"/>
            <w:sz w:val="28"/>
            <w:szCs w:val="28"/>
          </w:rPr>
          <w:t>разделом 3</w:t>
        </w:r>
      </w:hyperlink>
      <w:r>
        <w:rPr>
          <w:sz w:val="28"/>
          <w:szCs w:val="28"/>
        </w:rPr>
        <w:t xml:space="preserve"> Правил.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bookmarkStart w:id="1" w:name="Par11"/>
      <w:bookmarkEnd w:id="1"/>
      <w:r>
        <w:rPr>
          <w:sz w:val="28"/>
          <w:szCs w:val="28"/>
        </w:rPr>
        <w:t xml:space="preserve">2.3. Для получения </w:t>
      </w:r>
      <w:r w:rsidR="00451CA0">
        <w:rPr>
          <w:sz w:val="28"/>
          <w:szCs w:val="28"/>
        </w:rPr>
        <w:t>и</w:t>
      </w:r>
      <w:r>
        <w:rPr>
          <w:sz w:val="28"/>
          <w:szCs w:val="28"/>
        </w:rPr>
        <w:t xml:space="preserve">ного межбюджетного трансферта администрация </w:t>
      </w:r>
      <w:r w:rsidR="00822B0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срок до 1 сентября 2022 года с нарочным или почтовым отправлением представляет в </w:t>
      </w:r>
      <w:r w:rsidR="00822B04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копию муниципального правового акта, заверенную главой </w:t>
      </w:r>
      <w:r w:rsidR="00822B0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или уполномоченным им лицом (далее - уполномоченное лицо).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заверения копии</w:t>
      </w:r>
      <w:proofErr w:type="gramEnd"/>
      <w:r>
        <w:rPr>
          <w:sz w:val="28"/>
          <w:szCs w:val="28"/>
        </w:rPr>
        <w:t xml:space="preserve"> муниципального правового акта уполномоченным лицом прилагается документ, подтверждающий полномочия уполномоченного лица на заверение и предоставление копии муниципального правового акта.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 w:rsidR="00822B04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в течение 5 рабочих дней со дня получения копии муниципального правового акта осуществляет проверку </w:t>
      </w:r>
      <w:r w:rsidR="00822B0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 соответствие условиям предоставления </w:t>
      </w:r>
      <w:r w:rsidR="00451CA0">
        <w:rPr>
          <w:sz w:val="28"/>
          <w:szCs w:val="28"/>
        </w:rPr>
        <w:t>и</w:t>
      </w:r>
      <w:r>
        <w:rPr>
          <w:sz w:val="28"/>
          <w:szCs w:val="28"/>
        </w:rPr>
        <w:t xml:space="preserve">ного межбюджетного трансферта, установленным в </w:t>
      </w:r>
      <w:hyperlink w:anchor="Par6" w:history="1">
        <w:r>
          <w:rPr>
            <w:color w:val="0000FF"/>
            <w:sz w:val="28"/>
            <w:szCs w:val="28"/>
          </w:rPr>
          <w:t>пункте 2.1</w:t>
        </w:r>
      </w:hyperlink>
      <w:r>
        <w:rPr>
          <w:sz w:val="28"/>
          <w:szCs w:val="28"/>
        </w:rPr>
        <w:t xml:space="preserve"> Правил, на соблюдение срока и порядка представления копии муниципального правового акта, на наличие документа, подтверждающего полномочия уполномоченного лица.</w:t>
      </w:r>
      <w:proofErr w:type="gramEnd"/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несоблюдения </w:t>
      </w:r>
      <w:r w:rsidR="00822B04">
        <w:rPr>
          <w:sz w:val="28"/>
          <w:szCs w:val="28"/>
        </w:rPr>
        <w:t>поселением</w:t>
      </w:r>
      <w:r>
        <w:rPr>
          <w:sz w:val="28"/>
          <w:szCs w:val="28"/>
        </w:rPr>
        <w:t xml:space="preserve"> условий предоставления иного межбюджетного трансферта, установленных в </w:t>
      </w:r>
      <w:hyperlink w:anchor="Par6" w:history="1">
        <w:r>
          <w:rPr>
            <w:color w:val="0000FF"/>
            <w:sz w:val="28"/>
            <w:szCs w:val="28"/>
          </w:rPr>
          <w:t>пункте 2.1</w:t>
        </w:r>
      </w:hyperlink>
      <w:r>
        <w:rPr>
          <w:sz w:val="28"/>
          <w:szCs w:val="28"/>
        </w:rPr>
        <w:t xml:space="preserve"> Правил, срока и порядка представления копии муниципального правового акта, отсутствия документа, подтверждающего полномочия уполномоченного лица, </w:t>
      </w:r>
      <w:r w:rsidR="00822B04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в течение 7 рабочих дней со дня получения копии муниципального правового акта осуществляет ее возврат администрации </w:t>
      </w:r>
      <w:r w:rsidR="00822B0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посредством почтового отправления с указанием в сопроводительном письме замечаний </w:t>
      </w:r>
      <w:r w:rsidR="00822B04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(далее - сопроводительное</w:t>
      </w:r>
      <w:proofErr w:type="gramEnd"/>
      <w:r>
        <w:rPr>
          <w:sz w:val="28"/>
          <w:szCs w:val="28"/>
        </w:rPr>
        <w:t xml:space="preserve"> письмо).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22B04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течение 5 рабочих дней со дня получения от </w:t>
      </w:r>
      <w:r w:rsidR="00822B04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сопроводительного письма вправе повторно направить в </w:t>
      </w:r>
      <w:r w:rsidR="00822B04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копию муниципального правового, но не позднее срока, установленного в </w:t>
      </w:r>
      <w:hyperlink w:anchor="Par11" w:history="1">
        <w:r>
          <w:rPr>
            <w:color w:val="0000FF"/>
            <w:sz w:val="28"/>
            <w:szCs w:val="28"/>
          </w:rPr>
          <w:t>пункте 2.3</w:t>
        </w:r>
      </w:hyperlink>
      <w:r>
        <w:rPr>
          <w:sz w:val="28"/>
          <w:szCs w:val="28"/>
        </w:rPr>
        <w:t xml:space="preserve"> Правил.</w:t>
      </w:r>
    </w:p>
    <w:p w:rsidR="00822B04" w:rsidRPr="00170566" w:rsidRDefault="00822B04" w:rsidP="00822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5C8">
        <w:rPr>
          <w:sz w:val="28"/>
          <w:szCs w:val="28"/>
        </w:rPr>
        <w:lastRenderedPageBreak/>
        <w:t>2.5.</w:t>
      </w:r>
      <w:r w:rsidRPr="005135C8">
        <w:rPr>
          <w:sz w:val="28"/>
          <w:szCs w:val="28"/>
        </w:rPr>
        <w:tab/>
        <w:t>Финансовое управление перечисляет иной межбюджетный трансферт на лицевые счета поселений в течение 5 рабочих дней с момента поступления на лицевой счет финансового управления целевых средств из краевого бюджета.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Ответственность за целевое использование полученных средств иного межбюджетного трансферта возлагается на администрации </w:t>
      </w:r>
      <w:r w:rsidR="00822B04">
        <w:rPr>
          <w:sz w:val="28"/>
          <w:szCs w:val="28"/>
        </w:rPr>
        <w:t>поселений</w:t>
      </w:r>
      <w:r>
        <w:rPr>
          <w:sz w:val="28"/>
          <w:szCs w:val="28"/>
        </w:rPr>
        <w:t>.</w:t>
      </w:r>
    </w:p>
    <w:p w:rsidR="00822B04" w:rsidRDefault="00822B04" w:rsidP="00822B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67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799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66799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</w:t>
      </w:r>
      <w:r w:rsidR="00451CA0">
        <w:rPr>
          <w:rFonts w:ascii="Times New Roman" w:hAnsi="Times New Roman" w:cs="Times New Roman"/>
          <w:sz w:val="28"/>
          <w:szCs w:val="28"/>
        </w:rPr>
        <w:t xml:space="preserve">иных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66799">
        <w:rPr>
          <w:rFonts w:ascii="Times New Roman" w:hAnsi="Times New Roman" w:cs="Times New Roman"/>
          <w:sz w:val="28"/>
          <w:szCs w:val="28"/>
        </w:rPr>
        <w:t xml:space="preserve"> их получателями осуществляется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</w:t>
      </w:r>
      <w:r w:rsidRPr="00866799">
        <w:rPr>
          <w:rFonts w:ascii="Times New Roman" w:hAnsi="Times New Roman" w:cs="Times New Roman"/>
          <w:sz w:val="28"/>
          <w:szCs w:val="28"/>
        </w:rPr>
        <w:t xml:space="preserve">, отделом муниципального финансового контроля, </w:t>
      </w:r>
      <w:r>
        <w:rPr>
          <w:rFonts w:ascii="Times New Roman" w:hAnsi="Times New Roman" w:cs="Times New Roman"/>
          <w:sz w:val="28"/>
          <w:szCs w:val="28"/>
        </w:rPr>
        <w:t>Контрольно-с</w:t>
      </w:r>
      <w:r w:rsidRPr="00866799">
        <w:rPr>
          <w:rFonts w:ascii="Times New Roman" w:hAnsi="Times New Roman" w:cs="Times New Roman"/>
          <w:sz w:val="28"/>
          <w:szCs w:val="28"/>
        </w:rPr>
        <w:t>четной комиссией Богучанского района в пределах полномочий, установленных действующим законодательством.</w:t>
      </w:r>
    </w:p>
    <w:p w:rsidR="00285FF4" w:rsidRDefault="00285FF4" w:rsidP="00285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FF4" w:rsidRDefault="00285FF4" w:rsidP="00285FF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2" w:name="Par20"/>
      <w:bookmarkEnd w:id="2"/>
      <w:r>
        <w:rPr>
          <w:b/>
          <w:bCs/>
          <w:sz w:val="28"/>
          <w:szCs w:val="28"/>
        </w:rPr>
        <w:t>3. МЕТОДИКА РАСПРЕДЕЛЕНИЯ ИНЫХ МЕЖБЮДЖЕТНЫХ ТРАНСФЕРТОВ</w:t>
      </w:r>
    </w:p>
    <w:p w:rsidR="00285FF4" w:rsidRDefault="00285FF4" w:rsidP="00285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FF4" w:rsidRDefault="00285FF4" w:rsidP="0028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Размер </w:t>
      </w:r>
      <w:r w:rsidR="00451CA0">
        <w:rPr>
          <w:sz w:val="28"/>
          <w:szCs w:val="28"/>
        </w:rPr>
        <w:t>и</w:t>
      </w:r>
      <w:r>
        <w:rPr>
          <w:sz w:val="28"/>
          <w:szCs w:val="28"/>
        </w:rPr>
        <w:t>ного межбюджетного трансферта определяется по формуле:</w:t>
      </w:r>
    </w:p>
    <w:p w:rsidR="00285FF4" w:rsidRDefault="00285FF4" w:rsidP="00285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FF4" w:rsidRDefault="00285FF4" w:rsidP="00285FF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РВ</w:t>
      </w:r>
      <w:proofErr w:type="gramStart"/>
      <w:r>
        <w:rPr>
          <w:sz w:val="28"/>
          <w:szCs w:val="28"/>
          <w:vertAlign w:val="subscript"/>
        </w:rPr>
        <w:t>i</w:t>
      </w:r>
      <w:proofErr w:type="spellEnd"/>
      <w:proofErr w:type="gramEnd"/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ri</w:t>
      </w:r>
      <w:proofErr w:type="spellEnd"/>
      <w:r>
        <w:rPr>
          <w:sz w:val="28"/>
          <w:szCs w:val="28"/>
        </w:rPr>
        <w:t xml:space="preserve"> - ЗП</w:t>
      </w:r>
      <w:r>
        <w:rPr>
          <w:sz w:val="28"/>
          <w:szCs w:val="28"/>
          <w:vertAlign w:val="subscript"/>
        </w:rPr>
        <w:t>ri2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К</w:t>
      </w:r>
      <w:r>
        <w:rPr>
          <w:sz w:val="28"/>
          <w:szCs w:val="28"/>
          <w:vertAlign w:val="subscript"/>
        </w:rPr>
        <w:t>СВЗ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7 мес. / 1000,</w:t>
      </w:r>
    </w:p>
    <w:p w:rsidR="00285FF4" w:rsidRDefault="00285FF4" w:rsidP="00285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FF4" w:rsidRDefault="00285FF4" w:rsidP="0028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РВi</w:t>
      </w:r>
      <w:proofErr w:type="spellEnd"/>
      <w:r>
        <w:rPr>
          <w:sz w:val="28"/>
          <w:szCs w:val="28"/>
        </w:rPr>
        <w:t xml:space="preserve"> - размер </w:t>
      </w:r>
      <w:r w:rsidR="00451CA0">
        <w:rPr>
          <w:sz w:val="28"/>
          <w:szCs w:val="28"/>
        </w:rPr>
        <w:t>и</w:t>
      </w:r>
      <w:r>
        <w:rPr>
          <w:sz w:val="28"/>
          <w:szCs w:val="28"/>
        </w:rPr>
        <w:t xml:space="preserve">ного межбюджетного трансферта, предоставляемый для i-го </w:t>
      </w:r>
      <w:r w:rsidR="0081226A">
        <w:rPr>
          <w:sz w:val="28"/>
          <w:szCs w:val="28"/>
        </w:rPr>
        <w:t>поселения</w:t>
      </w:r>
      <w:r>
        <w:rPr>
          <w:sz w:val="28"/>
          <w:szCs w:val="28"/>
        </w:rPr>
        <w:t>,  рублей;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gramStart"/>
      <w:r>
        <w:rPr>
          <w:sz w:val="28"/>
          <w:szCs w:val="28"/>
          <w:vertAlign w:val="subscript"/>
        </w:rPr>
        <w:t>ri</w:t>
      </w:r>
      <w:proofErr w:type="spellEnd"/>
      <w:proofErr w:type="gramEnd"/>
      <w:r>
        <w:rPr>
          <w:sz w:val="28"/>
          <w:szCs w:val="28"/>
        </w:rPr>
        <w:t xml:space="preserve"> - размер заработной платы для целей расчета региональной выплаты, установленный Законом края, в </w:t>
      </w:r>
      <w:proofErr w:type="spellStart"/>
      <w:r w:rsidR="005135C8">
        <w:rPr>
          <w:sz w:val="28"/>
          <w:szCs w:val="28"/>
        </w:rPr>
        <w:t>Богучанском</w:t>
      </w:r>
      <w:proofErr w:type="spellEnd"/>
      <w:r w:rsidR="005135C8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с 1 июня 2022 года, рублей;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ri2</w:t>
      </w:r>
      <w:r>
        <w:rPr>
          <w:sz w:val="28"/>
          <w:szCs w:val="28"/>
        </w:rPr>
        <w:t xml:space="preserve"> - размер заработной платы для целей расчета региональной выплаты, установленный Законом края,</w:t>
      </w:r>
      <w:r w:rsidR="00451CA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 w:rsidR="005135C8">
        <w:rPr>
          <w:sz w:val="28"/>
          <w:szCs w:val="28"/>
        </w:rPr>
        <w:t>Богучанском</w:t>
      </w:r>
      <w:proofErr w:type="spellEnd"/>
      <w:r w:rsidR="005135C8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с 1 января 2022 года, рублей;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</w:t>
      </w:r>
      <w:proofErr w:type="gramStart"/>
      <w:r>
        <w:rPr>
          <w:sz w:val="28"/>
          <w:szCs w:val="28"/>
          <w:vertAlign w:val="subscript"/>
        </w:rPr>
        <w:t>i</w:t>
      </w:r>
      <w:proofErr w:type="spellEnd"/>
      <w:proofErr w:type="gramEnd"/>
      <w:r>
        <w:rPr>
          <w:sz w:val="28"/>
          <w:szCs w:val="28"/>
        </w:rPr>
        <w:t xml:space="preserve"> - численность получателей региональной выплаты в i-м </w:t>
      </w:r>
      <w:r w:rsidR="0081226A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 в соответствии со сведениями о размере начисленных и выплаченных сумм региональных выплат за 1-й квартал 2022 года, человек;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СВЗ</w:t>
      </w:r>
      <w:r>
        <w:rPr>
          <w:sz w:val="28"/>
          <w:szCs w:val="28"/>
        </w:rPr>
        <w:t xml:space="preserve">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 (1,302).</w:t>
      </w:r>
    </w:p>
    <w:p w:rsidR="00285FF4" w:rsidRDefault="00285FF4" w:rsidP="00285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FF4" w:rsidRDefault="00285FF4" w:rsidP="00285FF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СРОКИ И ПОРЯДОК ПРЕДСТАВЛЕНИЯ ОТЧЕТНОСТИ</w:t>
      </w:r>
    </w:p>
    <w:p w:rsidR="00285FF4" w:rsidRDefault="00285FF4" w:rsidP="00285F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FF4" w:rsidRDefault="00285FF4" w:rsidP="00285F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35"/>
      <w:bookmarkEnd w:id="3"/>
      <w:r>
        <w:rPr>
          <w:sz w:val="28"/>
          <w:szCs w:val="28"/>
        </w:rPr>
        <w:t xml:space="preserve">4.1. Администрации </w:t>
      </w:r>
      <w:r w:rsidR="0081226A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представляют в </w:t>
      </w:r>
      <w:r w:rsidR="0081226A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сведения о размере начисленных и выплаченных сумм региональных выплат </w:t>
      </w:r>
      <w:r>
        <w:rPr>
          <w:sz w:val="28"/>
          <w:szCs w:val="28"/>
        </w:rPr>
        <w:lastRenderedPageBreak/>
        <w:t xml:space="preserve">(далее - сведения) по </w:t>
      </w:r>
      <w:r w:rsidRPr="005135C8">
        <w:rPr>
          <w:sz w:val="28"/>
          <w:szCs w:val="28"/>
        </w:rPr>
        <w:t xml:space="preserve">форме, установленной приказом </w:t>
      </w:r>
      <w:r w:rsidR="005135C8" w:rsidRPr="005135C8">
        <w:rPr>
          <w:sz w:val="28"/>
          <w:szCs w:val="28"/>
        </w:rPr>
        <w:t>м</w:t>
      </w:r>
      <w:r w:rsidRPr="005135C8">
        <w:rPr>
          <w:sz w:val="28"/>
          <w:szCs w:val="28"/>
        </w:rPr>
        <w:t>инистерства</w:t>
      </w:r>
      <w:r w:rsidR="005135C8" w:rsidRPr="005135C8">
        <w:rPr>
          <w:sz w:val="28"/>
          <w:szCs w:val="28"/>
        </w:rPr>
        <w:t xml:space="preserve"> финансов Красноярского края</w:t>
      </w:r>
      <w:r w:rsidRPr="005135C8">
        <w:rPr>
          <w:sz w:val="28"/>
          <w:szCs w:val="28"/>
        </w:rPr>
        <w:t>.</w:t>
      </w:r>
    </w:p>
    <w:p w:rsidR="00285FF4" w:rsidRDefault="0081226A" w:rsidP="0081226A">
      <w:pPr>
        <w:tabs>
          <w:tab w:val="left" w:pos="4515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85FF4">
        <w:rPr>
          <w:sz w:val="28"/>
          <w:szCs w:val="28"/>
        </w:rPr>
        <w:t xml:space="preserve">4.2. Сведения представляются на электронную почту по адресу </w:t>
      </w:r>
      <w:hyperlink r:id="rId8" w:history="1">
        <w:r w:rsidRPr="0081226A">
          <w:rPr>
            <w:rStyle w:val="a6"/>
            <w:sz w:val="28"/>
            <w:szCs w:val="28"/>
            <w:lang w:val="en-US"/>
          </w:rPr>
          <w:t>fin</w:t>
        </w:r>
        <w:r w:rsidRPr="0081226A">
          <w:rPr>
            <w:rStyle w:val="a6"/>
            <w:sz w:val="28"/>
            <w:szCs w:val="28"/>
          </w:rPr>
          <w:t>-</w:t>
        </w:r>
        <w:r w:rsidRPr="0081226A">
          <w:rPr>
            <w:rStyle w:val="a6"/>
            <w:sz w:val="28"/>
            <w:szCs w:val="28"/>
            <w:lang w:val="en-US"/>
          </w:rPr>
          <w:t>upravlenie</w:t>
        </w:r>
        <w:r w:rsidRPr="0081226A">
          <w:rPr>
            <w:rStyle w:val="a6"/>
            <w:sz w:val="28"/>
            <w:szCs w:val="28"/>
          </w:rPr>
          <w:t>@</w:t>
        </w:r>
        <w:r w:rsidRPr="0081226A">
          <w:rPr>
            <w:rStyle w:val="a6"/>
            <w:sz w:val="28"/>
            <w:szCs w:val="28"/>
            <w:lang w:val="en-US"/>
          </w:rPr>
          <w:t>yandex</w:t>
        </w:r>
        <w:r w:rsidRPr="0081226A">
          <w:rPr>
            <w:rStyle w:val="a6"/>
            <w:sz w:val="28"/>
            <w:szCs w:val="28"/>
          </w:rPr>
          <w:t>.</w:t>
        </w:r>
        <w:r w:rsidRPr="0081226A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="00285FF4">
        <w:rPr>
          <w:sz w:val="28"/>
          <w:szCs w:val="28"/>
        </w:rPr>
        <w:t xml:space="preserve"> (в формате *.</w:t>
      </w:r>
      <w:proofErr w:type="spellStart"/>
      <w:r w:rsidR="00285FF4">
        <w:rPr>
          <w:sz w:val="28"/>
          <w:szCs w:val="28"/>
        </w:rPr>
        <w:t>pdf</w:t>
      </w:r>
      <w:proofErr w:type="spellEnd"/>
      <w:r w:rsidR="00285FF4">
        <w:rPr>
          <w:sz w:val="28"/>
          <w:szCs w:val="28"/>
        </w:rPr>
        <w:t>).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Сроки представления сведений, указанных в </w:t>
      </w:r>
      <w:hyperlink w:anchor="Par35" w:history="1">
        <w:r>
          <w:rPr>
            <w:color w:val="0000FF"/>
            <w:sz w:val="28"/>
            <w:szCs w:val="28"/>
          </w:rPr>
          <w:t>пункте 4.1</w:t>
        </w:r>
      </w:hyperlink>
      <w:r>
        <w:rPr>
          <w:sz w:val="28"/>
          <w:szCs w:val="28"/>
        </w:rPr>
        <w:t xml:space="preserve"> Правил: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июнь - сентябрь - не позднее </w:t>
      </w:r>
      <w:r w:rsidR="005135C8">
        <w:rPr>
          <w:sz w:val="28"/>
          <w:szCs w:val="28"/>
        </w:rPr>
        <w:t>8</w:t>
      </w:r>
      <w:r>
        <w:rPr>
          <w:sz w:val="28"/>
          <w:szCs w:val="28"/>
        </w:rPr>
        <w:t xml:space="preserve"> октября 2022 года;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2022 год - до </w:t>
      </w:r>
      <w:r w:rsidR="0081226A">
        <w:rPr>
          <w:sz w:val="28"/>
          <w:szCs w:val="28"/>
        </w:rPr>
        <w:t>18</w:t>
      </w:r>
      <w:r>
        <w:rPr>
          <w:sz w:val="28"/>
          <w:szCs w:val="28"/>
        </w:rPr>
        <w:t xml:space="preserve"> января 2023 года.</w:t>
      </w:r>
    </w:p>
    <w:p w:rsidR="00285FF4" w:rsidRDefault="00285FF4" w:rsidP="00285FF4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Ответственность за достоверность представляемых сведений возлагается на администрации </w:t>
      </w:r>
      <w:r w:rsidR="0081226A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в соответствии с действующим законодательством.</w:t>
      </w:r>
    </w:p>
    <w:p w:rsidR="00BA21A3" w:rsidRDefault="00BA21A3"/>
    <w:sectPr w:rsidR="00BA21A3" w:rsidSect="003706FB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F03A9"/>
    <w:rsid w:val="00192CBC"/>
    <w:rsid w:val="001A1CA5"/>
    <w:rsid w:val="001B50EF"/>
    <w:rsid w:val="0021436A"/>
    <w:rsid w:val="00285FF4"/>
    <w:rsid w:val="002F6F3F"/>
    <w:rsid w:val="003706FB"/>
    <w:rsid w:val="00451CA0"/>
    <w:rsid w:val="00485129"/>
    <w:rsid w:val="004A52E9"/>
    <w:rsid w:val="004D1942"/>
    <w:rsid w:val="005135C8"/>
    <w:rsid w:val="005B6A47"/>
    <w:rsid w:val="00600388"/>
    <w:rsid w:val="0081226A"/>
    <w:rsid w:val="00822B04"/>
    <w:rsid w:val="00981056"/>
    <w:rsid w:val="009A452A"/>
    <w:rsid w:val="009C2897"/>
    <w:rsid w:val="00AB5D06"/>
    <w:rsid w:val="00BA21A3"/>
    <w:rsid w:val="00C45208"/>
    <w:rsid w:val="00D75FA1"/>
    <w:rsid w:val="00DF03A9"/>
    <w:rsid w:val="00DF2ADC"/>
    <w:rsid w:val="00ED410C"/>
    <w:rsid w:val="00F52CB0"/>
    <w:rsid w:val="00F720AD"/>
    <w:rsid w:val="00FC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88"/>
    <w:pPr>
      <w:keepNext/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600388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customStyle="1" w:styleId="ConsPlusNormal">
    <w:name w:val="ConsPlusNormal"/>
    <w:rsid w:val="00DF03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uiPriority w:val="59"/>
    <w:rsid w:val="00DF03A9"/>
    <w:pPr>
      <w:ind w:left="-425"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8122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-upravlenie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830A11CBA272B2D6B4A0DFEF56C74A5A44E4AED838AC719A69F9C4D48A9317D70DE2069E4372793E22A6250CE4178FCBgF1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58F1A27228A2ED6BBA75174D9F7FCA49F554C2547B4808EABAB618769DE728479FB9E820AF3AF1FF74E403854CF964EF2307FE45A35CB985E79654p8SFH" TargetMode="External"/><Relationship Id="rId5" Type="http://schemas.openxmlformats.org/officeDocument/2006/relationships/hyperlink" Target="consultantplus://offline/ref=AA58F1A27228A2ED6BBA6B1A5BF320C549FD0ACB547B4A5BB0EAB04F29CDE17D07DFBFBE62EE31FBAB25A5538B47A52BAA7714FC4DBCp5S4H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Районный Совет</cp:lastModifiedBy>
  <cp:revision>9</cp:revision>
  <dcterms:created xsi:type="dcterms:W3CDTF">2022-09-12T03:20:00Z</dcterms:created>
  <dcterms:modified xsi:type="dcterms:W3CDTF">2022-12-06T05:16:00Z</dcterms:modified>
</cp:coreProperties>
</file>