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502"/>
      <w:r w:rsidRPr="00D40CC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bookmarkEnd w:id="0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1"/>
      <w:bookmarkStart w:id="2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bookmarkEnd w:id="2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" w:name="_Toc76741562"/>
      <w:bookmarkStart w:id="4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3"/>
      <w:bookmarkEnd w:id="4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056F7F72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 Ольги Борисовны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</w:t>
      </w:r>
      <w:r w:rsidRPr="00D40CCD">
        <w:t>-</w:t>
      </w:r>
      <w:r w:rsidR="004C342F" w:rsidRPr="00D40CCD">
        <w:t>лс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7B18578A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5E2A36">
        <w:t>20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</w:t>
      </w:r>
      <w:r w:rsidRPr="00D40CCD">
        <w:lastRenderedPageBreak/>
        <w:t xml:space="preserve">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lastRenderedPageBreak/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77777777" w:rsidR="00E92FB4" w:rsidRPr="00D40CCD" w:rsidRDefault="004C342F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  <w:r w:rsidRPr="00D40CCD">
              <w:rPr>
                <w:u w:val="single"/>
                <w:lang w:eastAsia="zh-CN"/>
              </w:rPr>
              <w:t>О.</w:t>
            </w:r>
            <w:r w:rsidR="004C342F" w:rsidRPr="00D40CCD">
              <w:rPr>
                <w:u w:val="single"/>
                <w:lang w:eastAsia="zh-CN"/>
              </w:rPr>
              <w:t>Б. Ерашева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lastRenderedPageBreak/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4D8D46F2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</w:t>
      </w:r>
      <w:r w:rsidR="002C0C4B" w:rsidRPr="00D40CCD">
        <w:t xml:space="preserve"> </w:t>
      </w:r>
      <w:r w:rsidR="00CD2DB1" w:rsidRPr="00D40CCD">
        <w:t>Ольги Борисовны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24-лс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6" w:name="_Toc76741563"/>
      <w:bookmarkStart w:id="7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6"/>
    <w:bookmarkEnd w:id="7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61A47FCA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7EC748E3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0F5A989E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Pr="00D40CCD">
              <w:rPr>
                <w:u w:val="single"/>
                <w:lang w:eastAsia="zh-CN"/>
              </w:rPr>
              <w:t>О.Б. Ерашева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Default="000923AB" w:rsidP="00E92FB4"/>
    <w:p w14:paraId="299D1A7E" w14:textId="0C598151" w:rsidR="00C74393" w:rsidRPr="00D40CCD" w:rsidRDefault="00C74393" w:rsidP="00164826">
      <w:pPr>
        <w:jc w:val="right"/>
      </w:pPr>
      <w:bookmarkStart w:id="8" w:name="_GoBack"/>
      <w:bookmarkEnd w:id="8"/>
    </w:p>
    <w:sectPr w:rsidR="00C74393" w:rsidRPr="00D40CCD" w:rsidSect="00E92FB4">
      <w:foot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2C30A4" w:rsidRDefault="002C30A4" w:rsidP="00E0690B">
      <w:r>
        <w:separator/>
      </w:r>
    </w:p>
  </w:endnote>
  <w:endnote w:type="continuationSeparator" w:id="0">
    <w:p w14:paraId="1BC140A6" w14:textId="77777777" w:rsidR="002C30A4" w:rsidRDefault="002C30A4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26CAFABD" w:rsidR="002C30A4" w:rsidRDefault="002C30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8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2C30A4" w:rsidRDefault="002C30A4" w:rsidP="00E0690B">
      <w:r>
        <w:separator/>
      </w:r>
    </w:p>
  </w:footnote>
  <w:footnote w:type="continuationSeparator" w:id="0">
    <w:p w14:paraId="5FC76BAF" w14:textId="77777777" w:rsidR="002C30A4" w:rsidRDefault="002C30A4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7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4EC5"/>
    <w:rsid w:val="000C0A5D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4826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1A30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95D51"/>
    <w:rsid w:val="002A1373"/>
    <w:rsid w:val="002A7841"/>
    <w:rsid w:val="002B5372"/>
    <w:rsid w:val="002B7332"/>
    <w:rsid w:val="002C0C4B"/>
    <w:rsid w:val="002C30A4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39FB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299F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D3FD6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7F82"/>
    <w:rsid w:val="00A4414B"/>
    <w:rsid w:val="00A506A3"/>
    <w:rsid w:val="00A54E24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05373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632F"/>
    <w:rsid w:val="00B97C78"/>
    <w:rsid w:val="00BA3330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D01D59"/>
    <w:rsid w:val="00D03D86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58A3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2FB4"/>
    <w:rsid w:val="00E95DFD"/>
    <w:rsid w:val="00E95F02"/>
    <w:rsid w:val="00E962E0"/>
    <w:rsid w:val="00E97ADA"/>
    <w:rsid w:val="00EA1F78"/>
    <w:rsid w:val="00EA32B0"/>
    <w:rsid w:val="00EB665A"/>
    <w:rsid w:val="00EC32FC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9C4AA-04CC-4614-8723-A6E9A7D0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2024-01-27T02:50:00Z</cp:lastPrinted>
  <dcterms:created xsi:type="dcterms:W3CDTF">2025-04-16T08:57:00Z</dcterms:created>
  <dcterms:modified xsi:type="dcterms:W3CDTF">2025-04-16T08:58:00Z</dcterms:modified>
</cp:coreProperties>
</file>