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B6" w:rsidRPr="001E56B6" w:rsidRDefault="001E56B6" w:rsidP="001E56B6">
      <w:pPr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E56B6" w:rsidRPr="001E56B6" w:rsidRDefault="001E56B6" w:rsidP="001E56B6">
      <w:pPr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E56B6">
        <w:rPr>
          <w:rFonts w:ascii="Arial" w:eastAsia="Times New Roman" w:hAnsi="Arial" w:cs="Arial"/>
          <w:sz w:val="20"/>
          <w:szCs w:val="20"/>
          <w:lang w:val="en-US" w:eastAsia="ru-RU"/>
        </w:rPr>
        <w:drawing>
          <wp:inline distT="0" distB="0" distL="0" distR="0">
            <wp:extent cx="477520" cy="559435"/>
            <wp:effectExtent l="1905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6B6" w:rsidRPr="001E56B6" w:rsidRDefault="001E56B6" w:rsidP="001E56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56B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E56B6" w:rsidRPr="001E56B6" w:rsidRDefault="001E56B6" w:rsidP="001E56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56B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E56B6" w:rsidRPr="001E56B6" w:rsidRDefault="001E56B6" w:rsidP="001E56B6">
      <w:pPr>
        <w:spacing w:after="0" w:line="240" w:lineRule="auto"/>
        <w:ind w:hanging="1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15.10.2020 г.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         № 1032-П</w:t>
      </w:r>
    </w:p>
    <w:p w:rsidR="001E56B6" w:rsidRPr="001E56B6" w:rsidRDefault="001E56B6" w:rsidP="001E56B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E56B6" w:rsidRPr="001E56B6" w:rsidRDefault="001E56B6" w:rsidP="001E56B6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«Об утверждении Правил персонифицированного финансирования дополнительного образования детей в </w:t>
      </w:r>
      <w:proofErr w:type="spellStart"/>
      <w:r w:rsidRPr="001E56B6">
        <w:rPr>
          <w:rFonts w:ascii="Arial" w:eastAsia="Times New Roman" w:hAnsi="Arial" w:cs="Arial"/>
          <w:spacing w:val="2"/>
          <w:sz w:val="26"/>
          <w:szCs w:val="26"/>
          <w:lang w:eastAsia="ru-RU"/>
        </w:rPr>
        <w:t>Богучанском</w:t>
      </w:r>
      <w:proofErr w:type="spellEnd"/>
      <w:r w:rsidRPr="001E56B6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районе Красноярского края»</w:t>
      </w:r>
    </w:p>
    <w:p w:rsidR="001E56B6" w:rsidRPr="001E56B6" w:rsidRDefault="001E56B6" w:rsidP="001E56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E56B6" w:rsidRPr="001E56B6" w:rsidRDefault="001E56B6" w:rsidP="001E56B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>В целях реализации федерального проекта «Успех каждого ребёнка»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от 24.12.2018 № 16, регионального проекта Красноярского края «Успех каждого ребёнка», утвержденного первым заместителем Губернатора Красноярского края - председателем Правительства Красноярского края Ю.А. Лапшиным 11.12.2018, распоряжения Правительства Красноярского края от 18.09.2020 № 670-р       «О внедрении система  персонифицированного  финансирования</w:t>
      </w:r>
      <w:proofErr w:type="gramEnd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gram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дополнительного образования  детей  в Красноярском  крае»,  учитывая приказ Министерства образования  Красноярского края от 23.09.2020 № 434-11-05 «Об утверждении Правил персонифицированного финансирования дополнительного образования детей в Красноярском крае», в соответствии с Соглашением  </w:t>
      </w: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взаимодействии министерства образования Красноярского края и администрации </w:t>
      </w:r>
      <w:proofErr w:type="spellStart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реализации  мероприятий региональных проектов  Красноярского края «Современная  школа», «Успех каждого ребенка», «Поддержка семей, имеющих детей», «Цифровая  образовательная  среда», «Учитель</w:t>
      </w:r>
      <w:proofErr w:type="gramEnd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будущего» от 20.12.2019 №1/22, </w:t>
      </w:r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со ст. 15  Федерального Закона от 06.10.2003 №131-ФЗ «Об общих принципах организации местного самоуправления в Российской Федерации», </w:t>
      </w: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ст. 7, 43, 47 Устава </w:t>
      </w:r>
      <w:proofErr w:type="spellStart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</w:t>
      </w:r>
    </w:p>
    <w:p w:rsidR="001E56B6" w:rsidRPr="001E56B6" w:rsidRDefault="001E56B6" w:rsidP="001E56B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E56B6" w:rsidRPr="001E56B6" w:rsidRDefault="001E56B6" w:rsidP="001E56B6">
      <w:pPr>
        <w:shd w:val="clear" w:color="auto" w:fill="FFFFFF"/>
        <w:spacing w:after="0" w:line="288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ПОСТАНОВЛЯЮ:</w:t>
      </w:r>
    </w:p>
    <w:p w:rsidR="001E56B6" w:rsidRPr="001E56B6" w:rsidRDefault="001E56B6" w:rsidP="001E56B6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Обеспечить внедрение с 01 октября 2020 на территории </w:t>
      </w:r>
      <w:proofErr w:type="spellStart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</w:t>
      </w:r>
      <w:proofErr w:type="gramStart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края системы персонифицированного финансирования дополнительного образования детей</w:t>
      </w:r>
      <w:proofErr w:type="gramEnd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</w:p>
    <w:p w:rsidR="001E56B6" w:rsidRPr="001E56B6" w:rsidRDefault="001E56B6" w:rsidP="001E56B6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Правила персонифицированного финансирования дополнительного образования детей в </w:t>
      </w:r>
      <w:proofErr w:type="spellStart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Богучанском</w:t>
      </w:r>
      <w:proofErr w:type="spellEnd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районе Красноярского края (далее – Правила) согласно приложению 1.</w:t>
      </w:r>
    </w:p>
    <w:p w:rsidR="001E56B6" w:rsidRPr="001E56B6" w:rsidRDefault="001E56B6" w:rsidP="001E56B6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финансирования согласно приложению 2.</w:t>
      </w:r>
    </w:p>
    <w:p w:rsidR="001E56B6" w:rsidRPr="001E56B6" w:rsidRDefault="001E56B6" w:rsidP="001E56B6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Управлению образования администрации </w:t>
      </w:r>
      <w:proofErr w:type="spell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МКОУ </w:t>
      </w:r>
      <w:proofErr w:type="gram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>ДО</w:t>
      </w:r>
      <w:proofErr w:type="gramEnd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>Центр</w:t>
      </w:r>
      <w:proofErr w:type="gramEnd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дополнительного образования детей, </w:t>
      </w: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МКУ "Управление культуры, физической культуры, спорта и молодежной политики </w:t>
      </w:r>
      <w:proofErr w:type="spellStart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</w:t>
      </w:r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Муниципальному бюджетному образовательному учреждению дополнительного образования «Детско-юношеская спортивная школа»</w:t>
      </w: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обеспечить внедрение модели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1E56B6" w:rsidRPr="001E56B6" w:rsidRDefault="001E56B6" w:rsidP="001E56B6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Муниципальному опорному центру </w:t>
      </w:r>
      <w:proofErr w:type="spell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созданному  на базе МКОУ </w:t>
      </w:r>
      <w:proofErr w:type="gram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>ДО</w:t>
      </w:r>
      <w:proofErr w:type="gramEnd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>Центр</w:t>
      </w:r>
      <w:proofErr w:type="gramEnd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дополнительного образования детей, </w:t>
      </w: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обеспечить взаимодействие с оператором персонифицированного финансирования Красноярского края,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финансирования.</w:t>
      </w:r>
    </w:p>
    <w:p w:rsidR="001E56B6" w:rsidRPr="001E56B6" w:rsidRDefault="001E56B6" w:rsidP="001E56B6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 социальным вопросам  И.М. Брюханова.</w:t>
      </w:r>
    </w:p>
    <w:p w:rsidR="001E56B6" w:rsidRPr="001E56B6" w:rsidRDefault="001E56B6" w:rsidP="001E56B6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</w:t>
      </w:r>
      <w:proofErr w:type="gram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днём опубликования в Официальном вестнике </w:t>
      </w:r>
      <w:proofErr w:type="spell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</w:t>
      </w:r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распространяется</w:t>
      </w:r>
      <w:proofErr w:type="gramEnd"/>
      <w:r w:rsidRPr="001E56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на отношения,  возникшие  с  01.10.2020г.</w:t>
      </w:r>
    </w:p>
    <w:p w:rsidR="001E56B6" w:rsidRPr="001E56B6" w:rsidRDefault="001E56B6" w:rsidP="001E56B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56B6" w:rsidRPr="001E56B6" w:rsidRDefault="001E56B6" w:rsidP="001E56B6">
      <w:pPr>
        <w:spacing w:after="0" w:line="240" w:lineRule="auto"/>
        <w:ind w:right="50"/>
        <w:rPr>
          <w:rFonts w:ascii="Arial" w:eastAsia="Times New Roman" w:hAnsi="Arial" w:cs="Arial"/>
          <w:sz w:val="26"/>
          <w:szCs w:val="26"/>
          <w:lang w:eastAsia="ru-RU"/>
        </w:rPr>
      </w:pPr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1E56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1E56B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 С.И. Нохрин</w:t>
      </w:r>
    </w:p>
    <w:p w:rsidR="001E56B6" w:rsidRPr="001E56B6" w:rsidRDefault="001E56B6" w:rsidP="001E56B6">
      <w:pPr>
        <w:spacing w:after="0" w:line="240" w:lineRule="auto"/>
        <w:ind w:right="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E56B6" w:rsidRPr="001E56B6" w:rsidRDefault="001E56B6" w:rsidP="001E56B6">
      <w:pPr>
        <w:tabs>
          <w:tab w:val="left" w:pos="851"/>
        </w:tabs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Приложение 1 к постановлению</w:t>
      </w:r>
    </w:p>
    <w:p w:rsidR="001E56B6" w:rsidRPr="001E56B6" w:rsidRDefault="001E56B6" w:rsidP="001E56B6">
      <w:pPr>
        <w:tabs>
          <w:tab w:val="left" w:pos="851"/>
        </w:tabs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proofErr w:type="spellStart"/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</w:p>
    <w:p w:rsidR="001E56B6" w:rsidRPr="001E56B6" w:rsidRDefault="001E56B6" w:rsidP="001E56B6">
      <w:pPr>
        <w:tabs>
          <w:tab w:val="left" w:pos="851"/>
        </w:tabs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от 15.10.2020 г. № 1032-П</w:t>
      </w:r>
    </w:p>
    <w:p w:rsidR="001E56B6" w:rsidRPr="001E56B6" w:rsidRDefault="001E56B6" w:rsidP="001E56B6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56B6" w:rsidRPr="001E56B6" w:rsidRDefault="001E56B6" w:rsidP="001E56B6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Правила персонифицированного финансирования дополнительного образования детей в </w:t>
      </w:r>
      <w:proofErr w:type="spellStart"/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Богучанском</w:t>
      </w:r>
      <w:proofErr w:type="spellEnd"/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 Красноярского края</w:t>
      </w:r>
    </w:p>
    <w:p w:rsidR="001E56B6" w:rsidRPr="001E56B6" w:rsidRDefault="001E56B6" w:rsidP="001E56B6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56B6" w:rsidRPr="001E56B6" w:rsidRDefault="001E56B6" w:rsidP="001E56B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Правила персонифицированного финансирования дополнительного образования детей в </w:t>
      </w:r>
      <w:proofErr w:type="spellStart"/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Богучанском</w:t>
      </w:r>
      <w:proofErr w:type="spellEnd"/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 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 целью реализации распоряжения Правительства Красноярского края от 18.09.2020 № 670-р «О внедрении система  персонифицированного  финансирования  дополнительного образования  детей  в Красноярском  крае</w:t>
      </w:r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>приказа Министерства образования  Красноярского края от 23.09.2020 № 434-11-05 «Об утверждении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Правил персонифицированного финансирования дополнительного образования детей в Красноярском крае», </w:t>
      </w:r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(далее – региональные Правила). </w:t>
      </w:r>
    </w:p>
    <w:p w:rsidR="001E56B6" w:rsidRPr="001E56B6" w:rsidRDefault="001E56B6" w:rsidP="001E56B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Красноярского края на территории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 Настоящие Правила используют понятия, предусмотренные региональными Правилами. </w:t>
      </w:r>
    </w:p>
    <w:p w:rsidR="001E56B6" w:rsidRPr="001E56B6" w:rsidRDefault="001E56B6" w:rsidP="001E56B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Сертификат персонифицированного финансирования в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районе, обеспечивается за счет средств бюджета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1E56B6" w:rsidRPr="001E56B6" w:rsidRDefault="001E56B6" w:rsidP="001E56B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образования администрации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 </w:t>
      </w:r>
      <w:r w:rsidRPr="001E56B6">
        <w:rPr>
          <w:rFonts w:ascii="Arial" w:hAnsi="Arial" w:cs="Arial"/>
          <w:color w:val="000000"/>
          <w:sz w:val="20"/>
          <w:szCs w:val="20"/>
          <w:lang w:eastAsia="ru-RU" w:bidi="ru-RU"/>
        </w:rPr>
        <w:t xml:space="preserve">объем обеспечения сертификатов 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>и предоставляет данные сведения оператору персонифицированного финансирования Красноярского края для фиксации в информационной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системе. </w:t>
      </w:r>
    </w:p>
    <w:p w:rsidR="001E56B6" w:rsidRPr="001E56B6" w:rsidRDefault="001E56B6" w:rsidP="001E56B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По всем вопросам, специально не урегулированным в настоящих Правилах, органы местного самоуправления 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руководствуются региональными Правилами. </w:t>
      </w:r>
    </w:p>
    <w:p w:rsidR="001E56B6" w:rsidRPr="001E56B6" w:rsidRDefault="001E56B6" w:rsidP="001E56B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1E56B6" w:rsidRPr="001E56B6" w:rsidRDefault="001E56B6" w:rsidP="001E56B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Управление образования администрации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соответствии с разделом </w:t>
      </w:r>
      <w:r w:rsidRPr="001E56B6">
        <w:rPr>
          <w:rFonts w:ascii="Arial" w:eastAsia="Times New Roman" w:hAnsi="Arial" w:cs="Arial"/>
          <w:sz w:val="20"/>
          <w:szCs w:val="20"/>
          <w:lang w:val="en-US" w:eastAsia="ru-RU"/>
        </w:rPr>
        <w:t>VII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1E56B6" w:rsidRPr="001E56B6" w:rsidRDefault="001E56B6" w:rsidP="001E56B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  <w:proofErr w:type="gramEnd"/>
    </w:p>
    <w:p w:rsidR="001E56B6" w:rsidRPr="001E56B6" w:rsidRDefault="001E56B6" w:rsidP="001E56B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посредством предоставления иным организациям грантов в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 в порядке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, установленном органами местного самоуправления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1E56B6" w:rsidRPr="001E56B6" w:rsidRDefault="001E56B6" w:rsidP="001E56B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Управлением образования администрации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разделом </w:t>
      </w:r>
      <w:r w:rsidRPr="001E56B6">
        <w:rPr>
          <w:rFonts w:ascii="Arial" w:eastAsia="Times New Roman" w:hAnsi="Arial" w:cs="Arial"/>
          <w:sz w:val="20"/>
          <w:szCs w:val="20"/>
          <w:lang w:val="en-US" w:eastAsia="ru-RU"/>
        </w:rPr>
        <w:t>VII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1E56B6" w:rsidRPr="001E56B6" w:rsidRDefault="001E56B6" w:rsidP="001E56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56B6" w:rsidRPr="001E56B6" w:rsidRDefault="001E56B6" w:rsidP="001E56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E56B6">
        <w:rPr>
          <w:rFonts w:ascii="Arial" w:eastAsia="Times New Roman" w:hAnsi="Arial" w:cs="Arial"/>
          <w:sz w:val="18"/>
          <w:szCs w:val="20"/>
          <w:lang w:eastAsia="ru-RU"/>
        </w:rPr>
        <w:t>Приложение 2 к постановлению</w:t>
      </w:r>
    </w:p>
    <w:p w:rsidR="001E56B6" w:rsidRPr="001E56B6" w:rsidRDefault="001E56B6" w:rsidP="001E56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E56B6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1E56B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1E56B6" w:rsidRPr="001E56B6" w:rsidRDefault="001E56B6" w:rsidP="001E56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E56B6">
        <w:rPr>
          <w:rFonts w:ascii="Arial" w:eastAsia="Times New Roman" w:hAnsi="Arial" w:cs="Arial"/>
          <w:sz w:val="18"/>
          <w:szCs w:val="20"/>
          <w:lang w:eastAsia="ru-RU"/>
        </w:rPr>
        <w:t xml:space="preserve"> от 15.10.2020г. № 1032-П</w:t>
      </w:r>
    </w:p>
    <w:p w:rsidR="001E56B6" w:rsidRPr="001E56B6" w:rsidRDefault="001E56B6" w:rsidP="001E56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56B6" w:rsidRPr="001E56B6" w:rsidRDefault="001E56B6" w:rsidP="001E56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</w:t>
      </w:r>
      <w:proofErr w:type="gramStart"/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</w:t>
      </w:r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системы персонифицированного финансирования</w:t>
      </w:r>
      <w:proofErr w:type="gramEnd"/>
    </w:p>
    <w:p w:rsidR="001E56B6" w:rsidRPr="001E56B6" w:rsidRDefault="001E56B6" w:rsidP="001E56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56B6" w:rsidRPr="001E56B6" w:rsidRDefault="001E56B6" w:rsidP="001E56B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>Раздел I. Общие положения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управления образования  администрации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требования к отчетности, требования об осуществлении 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детейв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рамках системы персонифицированного финансирования дополнительного образования детей.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Основные понятия, используемые в настоящем порядке:</w:t>
      </w:r>
    </w:p>
    <w:p w:rsidR="001E56B6" w:rsidRPr="001E56B6" w:rsidRDefault="001E56B6" w:rsidP="001E56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1E56B6" w:rsidRPr="001E56B6" w:rsidRDefault="001E56B6" w:rsidP="001E56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1E56B6" w:rsidRPr="001E56B6" w:rsidRDefault="001E56B6" w:rsidP="001E56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органами местного самоуправления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не осуществляются 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  <w:proofErr w:type="gramEnd"/>
    </w:p>
    <w:p w:rsidR="001E56B6" w:rsidRPr="001E56B6" w:rsidRDefault="001E56B6" w:rsidP="001E56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гранты в форме субсидии − средства, предоставляемые исполнителям услуг управлением образования администрации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финансирования;</w:t>
      </w:r>
    </w:p>
    <w:p w:rsidR="001E56B6" w:rsidRPr="001E56B6" w:rsidRDefault="001E56B6" w:rsidP="001E56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отбор исполнителей услуг – совокупность действий, которые осуществляются потребителями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услугс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целью выбора образовательной услуги в соответствии с требованиями, установленными региональными Правилами;</w:t>
      </w:r>
    </w:p>
    <w:p w:rsidR="001E56B6" w:rsidRPr="001E56B6" w:rsidRDefault="001E56B6" w:rsidP="001E56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уполномоченный орган – управление  образования администрации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1E56B6" w:rsidRPr="001E56B6" w:rsidRDefault="001E56B6" w:rsidP="001E56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региональные Правила – Правила персонифицированного финансирования дополнительного образования детей в Красноярском крае, утвержденные 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>приказом Министерства образования  Красноярского края от 23.09.2020 № 434-11-05.</w:t>
      </w:r>
    </w:p>
    <w:p w:rsidR="001E56B6" w:rsidRPr="001E56B6" w:rsidRDefault="001E56B6" w:rsidP="001E5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Уполномоченный орган осуществляет предоставление грантов в форме субсидии из бюджета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соответствии с решением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 о бюджете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образования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 Действие настоящего порядка не распространяется на осуществление финансовой (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грантовой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) поддержки в рамках иных муниципальных программ (подпрограмм)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1E56B6" w:rsidRPr="001E56B6" w:rsidRDefault="001E56B6" w:rsidP="001E56B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E56B6" w:rsidRPr="001E56B6" w:rsidRDefault="001E56B6" w:rsidP="001E56B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>Раздел II. Порядок проведения отбора исполнителей услуг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Ref30949936"/>
      <w:r w:rsidRPr="001E56B6">
        <w:rPr>
          <w:rFonts w:ascii="Arial" w:eastAsia="Times New Roman" w:hAnsi="Arial" w:cs="Arial"/>
          <w:sz w:val="20"/>
          <w:szCs w:val="20"/>
          <w:lang w:eastAsia="ru-RU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  <w:bookmarkEnd w:id="0"/>
    </w:p>
    <w:p w:rsidR="001E56B6" w:rsidRPr="001E56B6" w:rsidRDefault="001E56B6" w:rsidP="001E56B6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исполнитель услуг включен в реестр поставщиков образовательных услуг;</w:t>
      </w:r>
    </w:p>
    <w:p w:rsidR="001E56B6" w:rsidRPr="001E56B6" w:rsidRDefault="001E56B6" w:rsidP="001E56B6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образовательная услуга включена в реестр сертифицированных программ;</w:t>
      </w:r>
    </w:p>
    <w:p w:rsidR="001E56B6" w:rsidRPr="001E56B6" w:rsidRDefault="001E56B6" w:rsidP="001E56B6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заключение исполнителем услуг рамочного соглашения с уполномоченным органом в соответствии с пунктом настоящего порядка;</w:t>
      </w:r>
    </w:p>
    <w:p w:rsidR="001E56B6" w:rsidRPr="001E56B6" w:rsidRDefault="001E56B6" w:rsidP="001E56B6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6" w:history="1">
        <w:r w:rsidRPr="001E56B6">
          <w:rPr>
            <w:rFonts w:ascii="Arial" w:eastAsia="Times New Roman" w:hAnsi="Arial" w:cs="Arial"/>
            <w:sz w:val="20"/>
            <w:szCs w:val="20"/>
            <w:lang w:eastAsia="ru-RU"/>
          </w:rPr>
          <w:t>перечень</w:t>
        </w:r>
      </w:hyperlink>
      <w:r w:rsidRPr="001E56B6">
        <w:rPr>
          <w:rFonts w:ascii="Arial" w:eastAsia="Times New Roman" w:hAnsi="Arial" w:cs="Arial"/>
          <w:sz w:val="20"/>
          <w:szCs w:val="20"/>
          <w:lang w:eastAsia="ru-RU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офшорные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зоны), в совокупности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превышает 50 процентов;</w:t>
      </w:r>
    </w:p>
    <w:p w:rsidR="001E56B6" w:rsidRPr="001E56B6" w:rsidRDefault="001E56B6" w:rsidP="001E56B6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 отбора не получает в текущем финансовом году средства из бюджета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соответствии с иными правовыми актами на цели, установленные настоящим порядком;</w:t>
      </w:r>
    </w:p>
    <w:p w:rsidR="001E56B6" w:rsidRPr="001E56B6" w:rsidRDefault="001E56B6" w:rsidP="001E56B6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субсидий, бюджетных инвестиций, 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предоставленных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в соответствии с иными правовыми актами;</w:t>
      </w:r>
    </w:p>
    <w:p w:rsidR="001E56B6" w:rsidRPr="001E56B6" w:rsidRDefault="001E56B6" w:rsidP="001E56B6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1E56B6" w:rsidRPr="001E56B6" w:rsidRDefault="001E56B6" w:rsidP="001E56B6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грантане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должен прекратить деятельность в качестве индивидуального предпринимателя;</w:t>
      </w:r>
      <w:proofErr w:type="gramEnd"/>
    </w:p>
    <w:p w:rsidR="001E56B6" w:rsidRPr="001E56B6" w:rsidRDefault="001E56B6" w:rsidP="001E56B6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финансовыморганом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образования.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рамочного соглашения с исполнителем услуг.</w:t>
      </w:r>
    </w:p>
    <w:p w:rsidR="001E56B6" w:rsidRPr="001E56B6" w:rsidRDefault="001E56B6" w:rsidP="001E56B6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Решение об отказе в заключени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1E56B6" w:rsidRPr="001E56B6" w:rsidRDefault="001E56B6" w:rsidP="001E56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несоблюдения исполнителем услуг условий, установленных пунктом </w:t>
      </w:r>
      <w:fldSimple w:instr=" REF _Ref30949936 \r \h  \* MERGEFORMAT ">
        <w:r w:rsidRPr="001E56B6">
          <w:rPr>
            <w:rFonts w:ascii="Arial" w:eastAsia="Times New Roman" w:hAnsi="Arial" w:cs="Arial"/>
            <w:sz w:val="20"/>
            <w:szCs w:val="20"/>
            <w:lang w:eastAsia="ru-RU"/>
          </w:rPr>
          <w:t>7</w:t>
        </w:r>
      </w:fldSimple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порядка;</w:t>
      </w:r>
    </w:p>
    <w:p w:rsidR="001E56B6" w:rsidRPr="001E56B6" w:rsidRDefault="001E56B6" w:rsidP="001E56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Рамочное соглашение с исполнителем услуг должно содержать следующие положения:</w:t>
      </w:r>
    </w:p>
    <w:p w:rsidR="001E56B6" w:rsidRPr="001E56B6" w:rsidRDefault="001E56B6" w:rsidP="001E56B6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наименование исполнителя услуг и уполномоченного органа;</w:t>
      </w:r>
    </w:p>
    <w:p w:rsidR="001E56B6" w:rsidRPr="001E56B6" w:rsidRDefault="001E56B6" w:rsidP="001E56B6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обязательство исполнителя услуг о приеме на 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обучение по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образовательной программе (части образовательной программы) определенного числа обучающихся;</w:t>
      </w:r>
    </w:p>
    <w:p w:rsidR="001E56B6" w:rsidRPr="001E56B6" w:rsidRDefault="001E56B6" w:rsidP="001E56B6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1E56B6" w:rsidRPr="001E56B6" w:rsidRDefault="001E56B6" w:rsidP="001E56B6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1E56B6" w:rsidRPr="001E56B6" w:rsidRDefault="001E56B6" w:rsidP="001E5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56B6" w:rsidRPr="001E56B6" w:rsidRDefault="001E56B6" w:rsidP="001E56B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>Раздел II</w:t>
      </w:r>
      <w:r w:rsidRPr="001E56B6">
        <w:rPr>
          <w:rFonts w:ascii="Arial" w:eastAsia="Times New Roman" w:hAnsi="Arial" w:cs="Arial"/>
          <w:bCs/>
          <w:sz w:val="20"/>
          <w:szCs w:val="20"/>
          <w:lang w:val="en-US" w:eastAsia="ru-RU"/>
        </w:rPr>
        <w:t>I</w:t>
      </w:r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>. Условия и порядок предоставления грантов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Ref25498205"/>
      <w:r w:rsidRPr="001E56B6">
        <w:rPr>
          <w:rFonts w:ascii="Arial" w:eastAsia="Times New Roman" w:hAnsi="Arial" w:cs="Arial"/>
          <w:sz w:val="20"/>
          <w:szCs w:val="20"/>
          <w:lang w:eastAsia="ru-RU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1"/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Реестр договоров на авансирование содержит следующие сведения:</w:t>
      </w:r>
    </w:p>
    <w:p w:rsidR="001E56B6" w:rsidRPr="001E56B6" w:rsidRDefault="001E56B6" w:rsidP="001E56B6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наименование исполнителя услуг;</w:t>
      </w:r>
    </w:p>
    <w:p w:rsidR="001E56B6" w:rsidRPr="001E56B6" w:rsidRDefault="001E56B6" w:rsidP="001E56B6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1E56B6" w:rsidRPr="001E56B6" w:rsidRDefault="001E56B6" w:rsidP="001E56B6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месяц, на который предполагается авансирование;</w:t>
      </w:r>
    </w:p>
    <w:p w:rsidR="001E56B6" w:rsidRPr="001E56B6" w:rsidRDefault="001E56B6" w:rsidP="001E56B6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идентификаторы (номера) сертификатов персонифицированного финансирования;</w:t>
      </w:r>
    </w:p>
    <w:p w:rsidR="001E56B6" w:rsidRPr="001E56B6" w:rsidRDefault="001E56B6" w:rsidP="001E56B6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реквизиты (даты и номера заключения) договоров об образовании;</w:t>
      </w:r>
    </w:p>
    <w:p w:rsidR="001E56B6" w:rsidRPr="001E56B6" w:rsidRDefault="001E56B6" w:rsidP="001E56B6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объем финансовых обязательств на текущий месяц в соответствии с договорами об образовании.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>, включенными в реестр договоров на авансирование.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дств в с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>оответствии с заявкой на авансирование снижается на величину соответствующей переплаты.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Ref8587839"/>
      <w:r w:rsidRPr="001E56B6">
        <w:rPr>
          <w:rFonts w:ascii="Arial" w:eastAsia="Times New Roman" w:hAnsi="Arial" w:cs="Arial"/>
          <w:sz w:val="20"/>
          <w:szCs w:val="20"/>
          <w:lang w:eastAsia="ru-RU"/>
        </w:rPr>
        <w:t>Исполнитель услуг ежемесячно не позднее последнего дня месяц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а(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>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2"/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_Ref8587840"/>
      <w:r w:rsidRPr="001E56B6">
        <w:rPr>
          <w:rFonts w:ascii="Arial" w:eastAsia="Times New Roman" w:hAnsi="Arial" w:cs="Arial"/>
          <w:sz w:val="20"/>
          <w:szCs w:val="20"/>
          <w:lang w:eastAsia="ru-RU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3"/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Реестр договоров на оплату должен содержать следующие сведения:</w:t>
      </w:r>
    </w:p>
    <w:p w:rsidR="001E56B6" w:rsidRPr="001E56B6" w:rsidRDefault="001E56B6" w:rsidP="001E56B6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наименование исполнителя услуг;</w:t>
      </w:r>
    </w:p>
    <w:p w:rsidR="001E56B6" w:rsidRPr="001E56B6" w:rsidRDefault="001E56B6" w:rsidP="001E56B6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1E56B6" w:rsidRPr="001E56B6" w:rsidRDefault="001E56B6" w:rsidP="001E56B6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месяц, за который сформирован реестр;</w:t>
      </w:r>
    </w:p>
    <w:p w:rsidR="001E56B6" w:rsidRPr="001E56B6" w:rsidRDefault="001E56B6" w:rsidP="001E56B6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идентификаторы (номера) сертификатов персонифицированного финансирования;</w:t>
      </w:r>
    </w:p>
    <w:p w:rsidR="001E56B6" w:rsidRPr="001E56B6" w:rsidRDefault="001E56B6" w:rsidP="001E56B6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реквизиты (даты и номера заключения) договоров об образовании;</w:t>
      </w:r>
    </w:p>
    <w:p w:rsidR="001E56B6" w:rsidRPr="001E56B6" w:rsidRDefault="001E56B6" w:rsidP="001E56B6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1E56B6" w:rsidRPr="001E56B6" w:rsidRDefault="001E56B6" w:rsidP="001E56B6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_Ref25498208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Выполнение действий, предусмотренных пунктом </w:t>
      </w:r>
      <w:fldSimple w:instr=" REF _Ref8587840 \r \h  \* MERGEFORMAT ">
        <w:r w:rsidRPr="001E56B6">
          <w:rPr>
            <w:rFonts w:ascii="Arial" w:eastAsia="Times New Roman" w:hAnsi="Arial" w:cs="Arial"/>
            <w:sz w:val="20"/>
            <w:szCs w:val="20"/>
            <w:lang w:eastAsia="ru-RU"/>
          </w:rPr>
          <w:t>18</w:t>
        </w:r>
      </w:fldSimple>
      <w:r w:rsidRPr="001E56B6">
        <w:rPr>
          <w:rFonts w:ascii="Arial" w:eastAsia="Times New Roman" w:hAnsi="Arial" w:cs="Arial"/>
          <w:sz w:val="20"/>
          <w:szCs w:val="20"/>
          <w:lang w:eastAsia="ru-RU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4"/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1E56B6" w:rsidRPr="001E56B6" w:rsidRDefault="001E56B6" w:rsidP="001E56B6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наименование исполнителя услуг и уполномоченного органа;</w:t>
      </w:r>
    </w:p>
    <w:p w:rsidR="001E56B6" w:rsidRPr="001E56B6" w:rsidRDefault="001E56B6" w:rsidP="001E56B6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размер гранта в форме субсидии, соответствующий объему финансовых 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обязательств уполномоченного органа, предусмотренных договорами об образовании;</w:t>
      </w:r>
    </w:p>
    <w:p w:rsidR="001E56B6" w:rsidRPr="001E56B6" w:rsidRDefault="001E56B6" w:rsidP="001E56B6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обязательство уполномоченного органа о перечислении средств местного бюджета исполнителю услуг;</w:t>
      </w:r>
    </w:p>
    <w:p w:rsidR="001E56B6" w:rsidRPr="001E56B6" w:rsidRDefault="001E56B6" w:rsidP="001E56B6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заключение соглашения путем подписания исполнителем услуг соглашения в форме безотзывной оферты;</w:t>
      </w:r>
    </w:p>
    <w:p w:rsidR="001E56B6" w:rsidRPr="001E56B6" w:rsidRDefault="001E56B6" w:rsidP="001E56B6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1E56B6" w:rsidRPr="001E56B6" w:rsidRDefault="001E56B6" w:rsidP="001E56B6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порядок и сроки перечисления гранта в форме субсидии;</w:t>
      </w:r>
    </w:p>
    <w:p w:rsidR="001E56B6" w:rsidRPr="001E56B6" w:rsidRDefault="001E56B6" w:rsidP="001E56B6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порядок взыскания (возврата) сре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дств гр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>анта в форме субсидии в случае нарушения порядка, целей и условий его предоставления;</w:t>
      </w:r>
    </w:p>
    <w:p w:rsidR="001E56B6" w:rsidRPr="001E56B6" w:rsidRDefault="001E56B6" w:rsidP="001E56B6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порядок, формы и сроки представления отчетов;</w:t>
      </w:r>
    </w:p>
    <w:p w:rsidR="001E56B6" w:rsidRPr="001E56B6" w:rsidRDefault="001E56B6" w:rsidP="001E56B6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ответственность сторон за нарушение условий соглашения.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1E56B6" w:rsidRPr="001E56B6" w:rsidRDefault="001E56B6" w:rsidP="001E56B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1E56B6">
        <w:rPr>
          <w:rFonts w:ascii="Arial" w:hAnsi="Arial" w:cs="Arial"/>
          <w:sz w:val="20"/>
          <w:szCs w:val="20"/>
        </w:rPr>
        <w:t xml:space="preserve">расчетные счета, открытые 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 услуг – </w:t>
      </w:r>
      <w:r w:rsidRPr="001E56B6">
        <w:rPr>
          <w:rFonts w:ascii="Arial" w:hAnsi="Arial" w:cs="Arial"/>
          <w:sz w:val="20"/>
          <w:szCs w:val="20"/>
        </w:rPr>
        <w:t>индивидуальным предпринимателям, юридическим лицам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1E56B6">
        <w:rPr>
          <w:rFonts w:ascii="Arial" w:hAnsi="Arial" w:cs="Arial"/>
          <w:sz w:val="20"/>
          <w:szCs w:val="20"/>
        </w:rPr>
        <w:t>за исключением бюджетных (автономных) учреждений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1E56B6">
        <w:rPr>
          <w:rFonts w:ascii="Arial" w:hAnsi="Arial" w:cs="Arial"/>
          <w:sz w:val="20"/>
          <w:szCs w:val="20"/>
        </w:rPr>
        <w:t xml:space="preserve"> в российских кредитных организациях;</w:t>
      </w:r>
    </w:p>
    <w:p w:rsidR="001E56B6" w:rsidRPr="001E56B6" w:rsidRDefault="001E56B6" w:rsidP="001E56B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лицевые счета, открытые исполнителям услуг – </w:t>
      </w:r>
      <w:r w:rsidRPr="001E56B6">
        <w:rPr>
          <w:rFonts w:ascii="Arial" w:hAnsi="Arial" w:cs="Arial"/>
          <w:sz w:val="20"/>
          <w:szCs w:val="20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1E56B6" w:rsidRPr="001E56B6" w:rsidRDefault="001E56B6" w:rsidP="001E56B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лицевые счета, открытые исполнителям услуг – </w:t>
      </w:r>
      <w:r w:rsidRPr="001E56B6">
        <w:rPr>
          <w:rFonts w:ascii="Arial" w:hAnsi="Arial" w:cs="Arial"/>
          <w:sz w:val="20"/>
          <w:szCs w:val="20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1E56B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Грант в форме субсидии не может быть использован 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1E56B6" w:rsidRPr="001E56B6" w:rsidRDefault="001E56B6" w:rsidP="001E56B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капитальное строительство и инвестиции;</w:t>
      </w:r>
    </w:p>
    <w:p w:rsidR="001E56B6" w:rsidRPr="001E56B6" w:rsidRDefault="001E56B6" w:rsidP="001E56B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1E56B6" w:rsidRPr="001E56B6" w:rsidRDefault="001E56B6" w:rsidP="001E56B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деятельность, запрещенную действующим законодательством.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управление образования администрации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досрочно расторгает соглашение с последующим возвратом гранта в форме субсидии.</w:t>
      </w:r>
    </w:p>
    <w:p w:rsidR="001E56B6" w:rsidRPr="001E56B6" w:rsidRDefault="001E56B6" w:rsidP="001E5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56B6" w:rsidRPr="001E56B6" w:rsidRDefault="001E56B6" w:rsidP="001E56B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>Раздел I</w:t>
      </w:r>
      <w:r w:rsidRPr="001E56B6">
        <w:rPr>
          <w:rFonts w:ascii="Arial" w:eastAsia="Times New Roman" w:hAnsi="Arial" w:cs="Arial"/>
          <w:bCs/>
          <w:sz w:val="20"/>
          <w:szCs w:val="20"/>
          <w:lang w:val="en-US" w:eastAsia="ru-RU"/>
        </w:rPr>
        <w:t>V</w:t>
      </w:r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>. Требования к отчетности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сроки, установленные уполномоченным органом.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органом.</w:t>
      </w:r>
    </w:p>
    <w:p w:rsidR="001E56B6" w:rsidRPr="001E56B6" w:rsidRDefault="001E56B6" w:rsidP="001E5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56B6" w:rsidRPr="001E56B6" w:rsidRDefault="001E56B6" w:rsidP="001E56B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Раздел V. Порядок осуществления </w:t>
      </w:r>
      <w:proofErr w:type="gramStart"/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>контроля за</w:t>
      </w:r>
      <w:proofErr w:type="gramEnd"/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1E56B6" w:rsidRPr="001E56B6" w:rsidRDefault="001E56B6" w:rsidP="001E56B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1E56B6" w:rsidRPr="001E56B6" w:rsidRDefault="001E56B6" w:rsidP="001E56B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подтверждение достоверности, полноты и соответствия требованиям представления отчетности;</w:t>
      </w:r>
    </w:p>
    <w:p w:rsidR="001E56B6" w:rsidRPr="001E56B6" w:rsidRDefault="001E56B6" w:rsidP="001E56B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соблюдение целей, условий и порядка предоставления гранта в форме субсидий.</w:t>
      </w:r>
    </w:p>
    <w:p w:rsidR="001E56B6" w:rsidRPr="001E56B6" w:rsidRDefault="001E56B6" w:rsidP="001E5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выполнением условий соглашения о предоставлении гранта в форме субсидии и организацию процедуры приема отчета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обоказанных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целевым использованием грантов в форме субсидии.</w:t>
      </w:r>
    </w:p>
    <w:p w:rsidR="001E56B6" w:rsidRPr="001E56B6" w:rsidRDefault="001E56B6" w:rsidP="001E5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56B6" w:rsidRPr="001E56B6" w:rsidRDefault="001E56B6" w:rsidP="001E56B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>Раздел V</w:t>
      </w:r>
      <w:r w:rsidRPr="001E56B6">
        <w:rPr>
          <w:rFonts w:ascii="Arial" w:eastAsia="Times New Roman" w:hAnsi="Arial" w:cs="Arial"/>
          <w:bCs/>
          <w:sz w:val="20"/>
          <w:szCs w:val="20"/>
          <w:lang w:val="en-US" w:eastAsia="ru-RU"/>
        </w:rPr>
        <w:t>I</w:t>
      </w:r>
      <w:r w:rsidRPr="001E56B6">
        <w:rPr>
          <w:rFonts w:ascii="Arial" w:eastAsia="Times New Roman" w:hAnsi="Arial" w:cs="Arial"/>
          <w:bCs/>
          <w:sz w:val="20"/>
          <w:szCs w:val="20"/>
          <w:lang w:eastAsia="ru-RU"/>
        </w:rPr>
        <w:t>. Порядок возврата грантов в форме субсидии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Гранты в форме субсидии подлежат возврату исполнителем услуг в бюджет </w:t>
      </w:r>
      <w:proofErr w:type="spellStart"/>
      <w:r w:rsidRPr="001E56B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E56B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1E56B6" w:rsidRPr="001E56B6" w:rsidRDefault="001E56B6" w:rsidP="001E56B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56B6">
        <w:rPr>
          <w:rFonts w:ascii="Arial" w:eastAsia="Times New Roman" w:hAnsi="Arial" w:cs="Arial"/>
          <w:sz w:val="20"/>
          <w:szCs w:val="20"/>
          <w:lang w:eastAsia="ru-RU"/>
        </w:rPr>
        <w:t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</w:t>
      </w:r>
    </w:p>
    <w:p w:rsidR="001E56B6" w:rsidRPr="001E56B6" w:rsidRDefault="001E56B6" w:rsidP="001E56B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980" w:rsidRDefault="00294980"/>
    <w:sectPr w:rsidR="00294980" w:rsidSect="0029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902F41"/>
    <w:multiLevelType w:val="multilevel"/>
    <w:tmpl w:val="B2340DC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56B6"/>
    <w:rsid w:val="001E56B6"/>
    <w:rsid w:val="0029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4422</Words>
  <Characters>25210</Characters>
  <Application>Microsoft Office Word</Application>
  <DocSecurity>0</DocSecurity>
  <Lines>210</Lines>
  <Paragraphs>59</Paragraphs>
  <ScaleCrop>false</ScaleCrop>
  <Company/>
  <LinksUpToDate>false</LinksUpToDate>
  <CharactersWithSpaces>29573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2021-02-02T05:54:00Z</dcterms:created>
  <dcterms:modified xsi:type="dcterms:W3CDTF">2021-02-02T05:55:00Z</dcterms:modified>
</cp:coreProperties>
</file>