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8D" w:rsidRDefault="0044608D" w:rsidP="0044608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44608D" w:rsidRDefault="0044608D" w:rsidP="0044608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44608D" w:rsidRDefault="0044608D" w:rsidP="004460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textWrapping" w:clear="all"/>
      </w:r>
      <w:r w:rsidRPr="00583EB3">
        <w:rPr>
          <w:rFonts w:ascii="Times New Roman" w:eastAsia="Times New Roman" w:hAnsi="Times New Roman"/>
          <w:sz w:val="28"/>
          <w:szCs w:val="28"/>
          <w:lang w:eastAsia="ru-RU"/>
        </w:rPr>
        <w:object w:dxaOrig="1770" w:dyaOrig="2400">
          <v:rect id="rectole0000000000" o:spid="_x0000_i1025" style="width:36.3pt;height:50.7pt" o:ole="" o:preferrelative="t" stroked="f">
            <v:imagedata r:id="rId4" o:title=""/>
          </v:rect>
          <o:OLEObject Type="Embed" ProgID="StaticMetafile" ShapeID="rectole0000000000" DrawAspect="Content" ObjectID="_1645431278" r:id="rId5"/>
        </w:object>
      </w:r>
    </w:p>
    <w:p w:rsidR="0044608D" w:rsidRPr="0044608D" w:rsidRDefault="0044608D" w:rsidP="0044608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44608D" w:rsidRPr="0044608D" w:rsidRDefault="0044608D" w:rsidP="0044608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44608D" w:rsidRPr="0044608D" w:rsidRDefault="0044608D" w:rsidP="0044608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4608D" w:rsidRPr="0044608D" w:rsidRDefault="0044608D" w:rsidP="0044608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27.01.2020                              с.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  64 - </w:t>
      </w:r>
      <w:proofErr w:type="spellStart"/>
      <w:proofErr w:type="gram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44608D" w:rsidRPr="0044608D" w:rsidRDefault="0044608D" w:rsidP="0044608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608D" w:rsidRPr="0044608D" w:rsidRDefault="0044608D" w:rsidP="0044608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и дополнений  в постановление администрации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01.12.2011 № 1714-п  «О порядке определения объема и условия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услуг»</w:t>
      </w:r>
    </w:p>
    <w:p w:rsidR="0044608D" w:rsidRPr="0044608D" w:rsidRDefault="0044608D" w:rsidP="0044608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6" w:history="1">
        <w:r w:rsidRPr="0044608D">
          <w:rPr>
            <w:rFonts w:ascii="Arial" w:eastAsia="Times New Roman" w:hAnsi="Arial" w:cs="Arial"/>
            <w:sz w:val="26"/>
            <w:szCs w:val="26"/>
            <w:lang w:eastAsia="ru-RU"/>
          </w:rPr>
          <w:t>пунктом 1 статьи 78.1</w:t>
        </w:r>
      </w:hyperlink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Бюджетного кодекса Российской Федерации, </w:t>
      </w:r>
      <w:hyperlink r:id="rId7" w:history="1">
        <w:r w:rsidRPr="0044608D">
          <w:rPr>
            <w:rFonts w:ascii="Arial" w:eastAsia="Times New Roman" w:hAnsi="Arial" w:cs="Arial"/>
            <w:sz w:val="26"/>
            <w:szCs w:val="26"/>
            <w:lang w:eastAsia="ru-RU"/>
          </w:rPr>
          <w:t>статьями 7,8,47,48</w:t>
        </w:r>
      </w:hyperlink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Устава 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44608D" w:rsidRPr="0044608D" w:rsidRDefault="0044608D" w:rsidP="004460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01.12.2011 № 1714-п  «О порядке определения объема и условия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услуг» следующие изменения:</w:t>
      </w:r>
    </w:p>
    <w:p w:rsidR="0044608D" w:rsidRPr="0044608D" w:rsidRDefault="0044608D" w:rsidP="004460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>1.1</w:t>
      </w:r>
      <w:proofErr w:type="gram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В</w:t>
      </w:r>
      <w:proofErr w:type="gram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заголовке после слов «муниципальных услуг» дополнить словами «(выполнение работ)»</w:t>
      </w:r>
    </w:p>
    <w:p w:rsidR="0044608D" w:rsidRPr="0044608D" w:rsidRDefault="0044608D" w:rsidP="004460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к постановлению  администрации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01.12.2011 № 1714-п  изложить в новой редакции согласно приложению к настоящему постановлению.</w:t>
      </w:r>
    </w:p>
    <w:p w:rsidR="0044608D" w:rsidRPr="0044608D" w:rsidRDefault="0044608D" w:rsidP="004460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Считать утратившим силу постановление администрации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14.02.2013 № 140-п «О внесении изменений и дополнений  в постановление администрации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01.12.2011 № 1714-п  «О порядке определения объема и условия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услуг»</w:t>
      </w:r>
      <w:proofErr w:type="gramEnd"/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3. </w:t>
      </w:r>
      <w:proofErr w:type="gram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          Н.В.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4. Постановление вступает в силу в день, следующий за днем его официального опубликования Официальном </w:t>
      </w:r>
      <w:proofErr w:type="gram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вестнике</w:t>
      </w:r>
      <w:proofErr w:type="gram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44608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4608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Н </w:t>
      </w:r>
      <w:proofErr w:type="spellStart"/>
      <w:r w:rsidRPr="0044608D">
        <w:rPr>
          <w:rFonts w:ascii="Arial" w:eastAsia="Times New Roman" w:hAnsi="Arial" w:cs="Arial"/>
          <w:sz w:val="26"/>
          <w:szCs w:val="26"/>
          <w:lang w:eastAsia="ru-RU"/>
        </w:rPr>
        <w:t>В.Илиндеева</w:t>
      </w:r>
      <w:proofErr w:type="spellEnd"/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администрации </w:t>
      </w:r>
      <w:proofErr w:type="spellStart"/>
      <w:r w:rsidRPr="0044608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от 27.01.2020 № 64 -</w:t>
      </w:r>
      <w:proofErr w:type="spellStart"/>
      <w:proofErr w:type="gramStart"/>
      <w:r w:rsidRPr="0044608D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20"/>
      <w:bookmarkEnd w:id="0"/>
      <w:r w:rsidRPr="0044608D">
        <w:rPr>
          <w:rFonts w:ascii="Arial" w:eastAsia="Times New Roman" w:hAnsi="Arial" w:cs="Arial"/>
          <w:sz w:val="20"/>
          <w:szCs w:val="20"/>
          <w:lang w:eastAsia="ru-RU"/>
        </w:rPr>
        <w:t>ПОРЯДОК ОПРЕДЕЛЕНИЯ ОБЪЕМА И УСЛОВИЯ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определения объема и условия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 (далее - Порядок), разработан в соответствии с </w:t>
      </w:r>
      <w:hyperlink r:id="rId8" w:history="1">
        <w:r w:rsidRPr="0044608D">
          <w:rPr>
            <w:rFonts w:ascii="Arial" w:eastAsia="Times New Roman" w:hAnsi="Arial" w:cs="Arial"/>
            <w:sz w:val="20"/>
            <w:szCs w:val="20"/>
            <w:lang w:eastAsia="ru-RU"/>
          </w:rPr>
          <w:t>абзацами вторым</w:t>
        </w:r>
      </w:hyperlink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9" w:history="1">
        <w:r w:rsidRPr="0044608D">
          <w:rPr>
            <w:rFonts w:ascii="Arial" w:eastAsia="Times New Roman" w:hAnsi="Arial" w:cs="Arial"/>
            <w:sz w:val="20"/>
            <w:szCs w:val="20"/>
            <w:lang w:eastAsia="ru-RU"/>
          </w:rPr>
          <w:t>четвертым пункта 1 статьи 78.1</w:t>
        </w:r>
      </w:hyperlink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Бюджетного кодекса Российской Федерации, Федеральным </w:t>
      </w:r>
      <w:hyperlink r:id="rId10" w:history="1">
        <w:r w:rsidRPr="0044608D">
          <w:rPr>
            <w:rFonts w:ascii="Arial" w:eastAsia="Times New Roman" w:hAnsi="Arial" w:cs="Arial"/>
            <w:sz w:val="20"/>
            <w:szCs w:val="20"/>
            <w:lang w:eastAsia="ru-RU"/>
          </w:rPr>
          <w:t>законом</w:t>
        </w:r>
      </w:hyperlink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от 08.05.2010 N 83-ФЗ "О внесении изменений в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отдельные законодательные акты Российской Федерации в связи с совершенствованием правового положения государственных (муниципальных) учреждений" и устанавливает правила определения объема и условия предоставления субсидий районным муниципальным бюджетным и автономным учреждениям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бюджетные и автономные учреждения) из районного бюджета на цели, не связанные с финансовым обеспечением выполнения муниципального задания на оказание муниципальных услуг (выполнение работ) (далее - субсидия на иные цели).</w:t>
      </w:r>
      <w:proofErr w:type="gramEnd"/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35"/>
      <w:bookmarkEnd w:id="1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2. Субсидии на иные цели предоставляются для осуществления и (или) возмещения расходов бюджетных и автономных учреждений, не связанных с оказанием ими в соответствии с муниципальным заданием муниципальных услуг (выполнением работ), включая расходы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приобретение основных средств и (или) материальных запасов для осуществления видов деятельности бюджетных или автономных учреждений, предусмотренных учредительными документами;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осуществление работ по разработке проектно-сметной документации, проведению государственной экспертизы проектно-сметной документации, капитальному ремонту имущества, закрепленного за бюджетным или автономным учреждением на праве оперативного управления;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иных расходов, не относящихся к расходам, осуществляемым за счет средств субсидий на осуществление капитальных вложений в объекты капитального строительства муниципальной собственности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приобретение объектов недвижимого имущества в муниципальную собственность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4608D" w:rsidRPr="0044608D" w:rsidRDefault="0044608D" w:rsidP="0044608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 </w:t>
      </w:r>
      <w:proofErr w:type="gramStart"/>
      <w:r w:rsidRPr="0044608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Для определения объема субсидий на иные цели на очередной финансовый год и плановый период бюджетное или автономное учреждение направляет в срок до 1 августа текущего финансового года в орган исполнительной власти </w:t>
      </w:r>
      <w:proofErr w:type="spellStart"/>
      <w:r w:rsidRPr="0044608D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осуществляющий функции и полномочия учредителя бюджетного или автономного учреждения (далее - Уполномоченный орган), заявку, содержащую финансово-экономическое обоснование размера субсидии на иные цели (далее - заявка).</w:t>
      </w:r>
      <w:proofErr w:type="gramEnd"/>
    </w:p>
    <w:p w:rsidR="0044608D" w:rsidRPr="0044608D" w:rsidRDefault="0044608D" w:rsidP="0044608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bCs/>
          <w:sz w:val="20"/>
          <w:szCs w:val="20"/>
          <w:lang w:eastAsia="ru-RU"/>
        </w:rPr>
        <w:t>Заявка должна содержать:</w:t>
      </w:r>
    </w:p>
    <w:p w:rsidR="0044608D" w:rsidRPr="0044608D" w:rsidRDefault="0044608D" w:rsidP="0044608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расчеты и обоснования заявленного размера по направлениям, установленным в </w:t>
      </w:r>
      <w:hyperlink w:anchor="P35" w:history="1">
        <w:r w:rsidRPr="0044608D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пункте 2</w:t>
        </w:r>
      </w:hyperlink>
      <w:r w:rsidRPr="0044608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настоящего Порядка;</w:t>
      </w:r>
    </w:p>
    <w:p w:rsidR="0044608D" w:rsidRPr="0044608D" w:rsidRDefault="0044608D" w:rsidP="0044608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bCs/>
          <w:sz w:val="20"/>
          <w:szCs w:val="20"/>
          <w:lang w:eastAsia="ru-RU"/>
        </w:rPr>
        <w:t>информацию о стоимости планируемых к приобретению бюджетным или автономным учреждением основных средств и (или) материальных запасов (с указанием технических характеристик), подтверждаемую прайс-листами (коммерческими предложениями) поставщиков;</w:t>
      </w:r>
    </w:p>
    <w:p w:rsidR="0044608D" w:rsidRPr="0044608D" w:rsidRDefault="0044608D" w:rsidP="0044608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bCs/>
          <w:sz w:val="20"/>
          <w:szCs w:val="20"/>
          <w:lang w:eastAsia="ru-RU"/>
        </w:rPr>
        <w:t>информацию о стоимости работ по разработке проектно-сметной документации, о стоимости работ по проведению государственной экспертизы проектно-сметной документации, о сроках и стоимости работ по капитальному ремонту имущества бюджетного или автономного учреждения, подтверждаемую предварительными сметами расходов;</w:t>
      </w:r>
    </w:p>
    <w:p w:rsidR="0044608D" w:rsidRPr="0044608D" w:rsidRDefault="0044608D" w:rsidP="0044608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bCs/>
          <w:sz w:val="20"/>
          <w:szCs w:val="20"/>
          <w:lang w:eastAsia="ru-RU"/>
        </w:rPr>
        <w:t>иную информацию, документально подтверждающую потребность бюджетных или автономных учреждений в осуществлении расходов.</w:t>
      </w:r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Уполномоченный орган рассматривает заявки бюджетных или автономных учреждений, осуществляет подготовку проекта приказа (распоряжения) об утверждении перечня получателей и объема субсидий на иные цели на очередной финансовый год и плановый период по форме согласно приложению № 4 (далее – проект приказа (распоряжения)) в пределах объемов бюджетных ассигнований на обеспечение расходных обязательств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доведенных Уполномоченному органу на очередной финансовый год и плановый период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, и направляет его на согласование в финансовое управление администрации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финансовое управление) в срок до 1 сентября текущего финансового года на бумажной основе с листом согласования.</w:t>
      </w:r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Финансовое управление  согласовывает проект приказа (распоряжения)  путем проставления визы согласования в листе согласования или подготавливает замечания к проекту </w:t>
      </w:r>
      <w:r w:rsidRPr="0044608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приказа (распоряжения), оформленные в виде отдельного документа, и возвращает их Уполномоченному органу.</w:t>
      </w:r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получения от финансового управления  замечаний на проект приказа (распоряжения), Уполномоченный орган  учитывает замечания к проекту приказа (распоряжения) и формирует новую версию проекта приказа (распоряжения), направляет его документом на бумажной основе с листом согласования </w:t>
      </w:r>
      <w:r w:rsidRPr="0044608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на повторное согласование в финансовое управление либо оформляет письменные возражения в виде протокола (таблицы) разногласий и представляет его (ее) для ознакомления в финансовое управление.</w:t>
      </w:r>
      <w:proofErr w:type="gramEnd"/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В случае учета (снятия) замечаний на проект приказа (распоряжения) финансовое управление  проставляет в листе согласования отметку о том, что замечания учтены (сняты), и возвращает проект приказа (распоряжения) Уполномоченному органу.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Проект приказа (распоряжения) утверждается Уполномоченным органом в срок не позднее 20 января очередного финансового года.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55"/>
      <w:bookmarkEnd w:id="2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5. Перечень получателей и объем субсидий на иные цели на очередной финансовый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год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и плановый период могут быть изменены Уполномоченным органом в текущем финансовом году в следующих случаях: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увеличения или уменьшения объема бюджетных ассигнований, предусмотренных в решении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 о районном  бюджете на очередной финансовый год и плановый период;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выявления дополнительной потребности бюджетного или автономного учреждения в осуществлении расходов, предусмотренных </w:t>
      </w:r>
      <w:hyperlink w:anchor="P35" w:history="1">
        <w:r w:rsidRPr="0044608D">
          <w:rPr>
            <w:rFonts w:ascii="Arial" w:eastAsia="Times New Roman" w:hAnsi="Arial" w:cs="Arial"/>
            <w:sz w:val="20"/>
            <w:szCs w:val="20"/>
            <w:lang w:eastAsia="ru-RU"/>
          </w:rPr>
          <w:t>пунктом 2</w:t>
        </w:r>
      </w:hyperlink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Порядка, при условии наличия соответствующих бюджетных ассигнований в решении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 о районном  бюджете на очередной финансовый год и плановый период;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выявления необходимости перераспределения субсидий на иные цели между получателями субсидий на иные цели в пределах бюджетных ассигнований, предусмотренных в решении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 о районном  бюджете на очередной финансовый год и плановый период;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внесения изменений в муниципальные программы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иные нормативные правовые акты, устанавливающие расходное обязательство по предоставлению субсидии на иные цели;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невозможности осуществления расходов на иные цели в полном объеме.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6. При наступлении одного из случаев, указанных в </w:t>
      </w:r>
      <w:hyperlink r:id="rId11" w:history="1">
        <w:r w:rsidRPr="0044608D">
          <w:rPr>
            <w:rFonts w:ascii="Arial" w:eastAsia="Times New Roman" w:hAnsi="Arial" w:cs="Arial"/>
            <w:sz w:val="20"/>
            <w:szCs w:val="20"/>
            <w:lang w:eastAsia="ru-RU"/>
          </w:rPr>
          <w:t>пункте 5</w:t>
        </w:r>
      </w:hyperlink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Порядка, Уполномоченный орган в течение 10 рабочих дней осуществляет подготовку, согласование с финансовым управлением и утверждение приказа (распоряжения) о внесении изменений в перечень получателей и объем субсидий на иные цели на очередной финансовый год и плановый период. 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Финансовое управление согласовывает проект приказа (распоряжения) о внесении изменений в перечень получателей и объем субсидий на иные цели на очередной финансовый год и плановый период в порядке, предусмотренном абзацами 2-4 пункта 4 Порядка.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7. Предоставление субсидии на иные цели в течение финансового года осуществляется на основании соглашения о порядке и условиях предоставления субсидии на иные цели, заключаемого между бюджетным или автономным учреждением и Уполномоченным органом (далее - соглашение).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Соглашение заключается в соответствии с примерной </w:t>
      </w:r>
      <w:hyperlink w:anchor="P106" w:history="1">
        <w:r w:rsidRPr="0044608D">
          <w:rPr>
            <w:rFonts w:ascii="Arial" w:eastAsia="Times New Roman" w:hAnsi="Arial" w:cs="Arial"/>
            <w:sz w:val="20"/>
            <w:szCs w:val="20"/>
            <w:lang w:eastAsia="ru-RU"/>
          </w:rPr>
          <w:t>формой</w:t>
        </w:r>
      </w:hyperlink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согласно приложению N 1 к настоящему Порядку. Уполномоченный орган вправе уточнять и дополнять форму соглашения с учетом отраслевых особенностей в соответствующей сфере.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8. Субсидия на иные цели бюджетному учреждению перечисляется в установленном порядке на лицевой счет бюджетного учреждения, открытый в Управлении Федерального казначейства по Красноярскому краю.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Субсидия на иные цели автономному учреждению перечисляется в установленном порядке на счет, открытый в кредитной организации автономному учреждению, или на лицевой счет автономного учреждения, открытый в Управлении Федерального казначейства по Красноярскому краю.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9.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использования и целевым использованием субсидии на иные цели осуществляет Уполномоченный орган.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Бюджетные и автономные учреждения ежеквартально не позднее 10 числа  месяца, следующего за отчетным, представляют в Уполномоченный орган отчет об использовании субсидии на иные цели по </w:t>
      </w:r>
      <w:hyperlink w:anchor="P253" w:history="1">
        <w:r w:rsidRPr="0044608D">
          <w:rPr>
            <w:rFonts w:ascii="Arial" w:eastAsia="Times New Roman" w:hAnsi="Arial" w:cs="Arial"/>
            <w:sz w:val="20"/>
            <w:szCs w:val="20"/>
            <w:lang w:eastAsia="ru-RU"/>
          </w:rPr>
          <w:t>форме</w:t>
        </w:r>
      </w:hyperlink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согласно приложению N 2 к настоящему Порядку.</w:t>
      </w:r>
      <w:proofErr w:type="gramEnd"/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Уполномоченный орган ежегодно направляет в финансовое управление  и управление экономики и планирования  администрации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сводный </w:t>
      </w:r>
      <w:hyperlink w:anchor="P375" w:history="1">
        <w:r w:rsidRPr="0044608D">
          <w:rPr>
            <w:rFonts w:ascii="Arial" w:eastAsia="Times New Roman" w:hAnsi="Arial" w:cs="Arial"/>
            <w:sz w:val="20"/>
            <w:szCs w:val="20"/>
            <w:lang w:eastAsia="ru-RU"/>
          </w:rPr>
          <w:t>отчет</w:t>
        </w:r>
      </w:hyperlink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об использовании субсидий на иные цели бюджетными и автономными учреждениями в отчетном финансовом году вместе с пояснительной запиской, содержащей запланированные и достигнутые результаты </w:t>
      </w:r>
      <w:r w:rsidRPr="0044608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использования средств субсидий на иные цели и (или) причины их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неосвоения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>, в срок до 1 марта  года, следующего за отчетным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по форме согласно приложению N 3 к настоящему Порядку.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10. Не использованные в текущем финансовом году остатки субсидии на иные цели, предоставленной бюджетным и автономным учреждениям (в случае осуществления операций с указанными средствами на лицевых счетах автономных учреждений, открытых им в Управлении Федерального казначейства по Красноярскому краю), подлежат перечислению в районный бюджет.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При наличии потребности в направлении бюджетными и автономными учреждениями остатков субсидии на иные цели на те же цели в году, следующем за отчетным, Уполномоченный орган в срок до 1 марта текущего финансового года осуществляет подготовку, согласование с финансовым управлением на бумажной основе с листом согласования  и утверждение приказа (распоряжения) о согласовании расходования остатков субсидии на иные цели в текущем финансовом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году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на те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же цели (далее – приказ (распоряжение) об остатках).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Финансовое управление  согласовывает проект приказа (распоряжения) об остатках в течение 10 рабочих дней после представления Уполномоченным органом заверенной им или бюджетным (автономным) учреждением копии одного из следующих документов, подтверждающих наличие потребности в направлении остатков субсидии на иные цели в текущем финансовом году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на те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же цели: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проектно-сметной документации на выполнение работ, финансируемых за счет средств субсидии на иные цели;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документов, подтверждающих проведение в отчетном финансовом году процедур закупки товаров, работ, услуг в целях заключения контрактов (договоров), на основании которых планируется осуществление расходов, предусмотренных </w:t>
      </w:r>
      <w:hyperlink w:anchor="P35" w:history="1">
        <w:r w:rsidRPr="0044608D">
          <w:rPr>
            <w:rFonts w:ascii="Arial" w:eastAsia="Times New Roman" w:hAnsi="Arial" w:cs="Arial"/>
            <w:sz w:val="20"/>
            <w:szCs w:val="20"/>
            <w:lang w:eastAsia="ru-RU"/>
          </w:rPr>
          <w:t>пунктом 2</w:t>
        </w:r>
      </w:hyperlink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 (далее - договоры), и являющихся основанием для заключения договоров;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документов, подтверждающих возникновение денежных обязательств в отчетном финансовом году.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В случае наличия замечаний к проекту приказа (распоряжения) об остатках финансовое управление подготавливает замечания к проекту приказа (распоряжения) об остатках, оформленные в виде отдельного документа, и возвращает их Уполномоченному органу.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В случае получения от финансового управления замечаний на проект приказа (распоряжения) об остатках, Уполномоченный орган в течение пяти рабочих дней учитывает замечания к проекту приказа (распоряжения)  об остатках и формирует новую версию проекта приказа (распоряжения) об остатках, направляет его документом на бумажной основе с листом согласования на повторное согласование в финансовое управление либо оформляет письменные возражения в виде протокола (таблицы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>) разногласий и представляет его (ее) для ознакомления в финансовое управление.</w:t>
      </w:r>
    </w:p>
    <w:p w:rsidR="0044608D" w:rsidRPr="0044608D" w:rsidRDefault="0044608D" w:rsidP="004460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учета (снятия) замечаний на проект приказа (распоряжения) </w:t>
      </w:r>
      <w:r w:rsidRPr="0044608D">
        <w:rPr>
          <w:rFonts w:ascii="Arial" w:eastAsia="Times New Roman" w:hAnsi="Arial" w:cs="Arial"/>
          <w:sz w:val="20"/>
          <w:szCs w:val="20"/>
          <w:lang w:eastAsia="ru-RU"/>
        </w:rPr>
        <w:br/>
        <w:t>об остатках финансовое управление в течение пяти рабочих дней со дня получения проект приказа (распоряжения), направленного на повторное согласование, проставляют в листе согласования отметку о том, что замечания учтены (сняты), и возвращают проект приказа (распоряжения) об остатках Уполномоченному органу.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Приложение N 1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к Порядку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определения объема и условиям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 xml:space="preserve">предоставления </w:t>
      </w:r>
      <w:proofErr w:type="gramStart"/>
      <w:r w:rsidRPr="0044608D">
        <w:rPr>
          <w:rFonts w:ascii="Arial" w:eastAsia="Times New Roman" w:hAnsi="Arial" w:cs="Arial"/>
          <w:sz w:val="18"/>
          <w:szCs w:val="20"/>
          <w:lang w:eastAsia="ru-RU"/>
        </w:rPr>
        <w:t>из</w:t>
      </w:r>
      <w:proofErr w:type="gramEnd"/>
      <w:r w:rsidRPr="0044608D">
        <w:rPr>
          <w:rFonts w:ascii="Arial" w:eastAsia="Times New Roman" w:hAnsi="Arial" w:cs="Arial"/>
          <w:sz w:val="18"/>
          <w:szCs w:val="20"/>
          <w:lang w:eastAsia="ru-RU"/>
        </w:rPr>
        <w:t xml:space="preserve"> районного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 xml:space="preserve">бюджета </w:t>
      </w:r>
      <w:proofErr w:type="gramStart"/>
      <w:r w:rsidRPr="0044608D">
        <w:rPr>
          <w:rFonts w:ascii="Arial" w:eastAsia="Times New Roman" w:hAnsi="Arial" w:cs="Arial"/>
          <w:sz w:val="18"/>
          <w:szCs w:val="20"/>
          <w:lang w:eastAsia="ru-RU"/>
        </w:rPr>
        <w:t>районным</w:t>
      </w:r>
      <w:proofErr w:type="gramEnd"/>
      <w:r w:rsidRPr="0044608D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муниципальным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бюджетным и автономным учреждениям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субсидий на цели, не связанные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с финансовым обеспечением выполнения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муниципального задания на оказание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муниципальных услуг (выполнение работ)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106"/>
      <w:bookmarkEnd w:id="3"/>
      <w:r w:rsidRPr="0044608D">
        <w:rPr>
          <w:rFonts w:ascii="Arial" w:eastAsia="Times New Roman" w:hAnsi="Arial" w:cs="Arial"/>
          <w:sz w:val="20"/>
          <w:szCs w:val="20"/>
          <w:lang w:eastAsia="ru-RU"/>
        </w:rPr>
        <w:t>Примерная форма соглашения о порядке и условиях предоставления субсидии на цели,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не связанные с финансовым обеспечением выполнения муниципального задания на оказание муниципальных услуг (выполнение работ)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с. ___________________                                                                 "__" ___________ 20__ г.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Орган  исполнительной власти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осуществляющий функции и  полномочия  учредителя  в отношении районного муниципального бюджетного учреждения  (районного муниципального автономного учреждения), именуемый в дальнейшем    "Уполномоченный    орган",   в   лице   ____________________, действующего  на основании ____________________, с </w:t>
      </w:r>
      <w:r w:rsidRPr="0044608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одной стороны, и районное муниципальное  бюджетное  учреждение  (районное муниципальное автономное учреждение),     именуемое    в    дальнейшем    "Учреждение",    в    лице ___________________,  действующего  на  основании  ____________________,  с другой  стороны, вместе именуемые "Стороны", заключили настоящее соглашение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(далее по тексту - Соглашение) о нижеследующем: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1. Предмет Соглашения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   Предметом  настоящего Соглашения является определение порядка и условий предоставления      Уполномоченным      органом     Учреждению     субсидии _______________________________________________,  не связанной с финансовым        (цель предоставления субсидии) обеспечением     выполнения    муниципального    задания    на   оказание муниципальных услуг (выполнение работ) (далее - субсидия на иные цели), в году _______ в размере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(__________________________________________).</w:t>
      </w:r>
      <w:proofErr w:type="gramEnd"/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(сумма прописью)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 Права и обязанности Сторон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2.1. Уполномоченный орган обязуется: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2.1.1. Перечислять Учреждению субсидию на иные цели в размере и в соответствии с графиком перечисления субсидии, являющимся неотъемлемой частью настоящего Соглашения и оформленным в соответствии с приложением.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2.2. Уполномоченный орган вправе: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2.2.1. Уточнять и дополнять Соглашение, в том числе сроки предоставления субсидии на иные цели.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2.2.2. Изменять размер предоставляемой в соответствии с настоящим Соглашением субсидии на иные цели в случаях: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увеличения или уменьшения объема бюджетных ассигнований, предусмотренных в решении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 о районном бюджете на очередной финансовый год и плановый период;</w:t>
      </w:r>
      <w:proofErr w:type="gramEnd"/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выявления потребности Учреждения в осуществлении дополнительных расходов, при условии наличия соответствующих бюджетных ассигнований в решении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 о районном  бюджете на очередной финансовый год и плановый период;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выявления необходимости перераспределения субсидий на иные цели между получателями субсидий на иные цели в пределах бюджетных ассигнований, предусмотренных в решении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 о районном  бюджете на очередной финансовый год и плановый период;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внесения соответствующих изменений в приказ (распоряжение) об утверждении перечня получателей и объема субсидий на иные цели на очередной финансовый год и плановый период;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внесения изменений в муниципальные программы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иные нормативные правовые акты, устанавливающие расходное обязательство по предоставлению субсидии на иные цели;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невозможности осуществления расходов на иные цели в полном объеме.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2.2.3. Приостанавливать предоставление субсидии на иные цели, в случае нарушения Учреждением сроков представления отчета об использовании субсидии на иные цели за отчетный период.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2.2.4. Прекращать предоставление субсидии на иные цели в случае установления фактов ее нецелевого использования.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2.3. Учреждение обязуется: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2.3.1. Использовать субсидию на иные цели по целевому назначению.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2.3.2. Своевременно информировать Уполномоченный орган об изменении условий использования субсидии на иные цели, которые могут повлиять на изменение размера субсидии на иные цели.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2.3.3. Ежеквартально представлять в Уполномоченный орган отчет об использовании субсидии на иные цели не позднее 10 числа  месяца, следующего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отчетным.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2.4. Учреждение вправе: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2.4.1. Обращаться к Уполномоченному органу с предложением об изменении размера субсидии на иные цели.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2.4.2. Расходовать субсидию на иные цели самостоятельно.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субсидии на иные цели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3.1.  Уполномоченный орган,   осуществляет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использования и целевым использованием субсидии на иные цели.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3.2.   Финансовое управление администрации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  финансовый 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и использования  субсидии  на  иные  цели,  в  том  числе принимает решение о возврате  средств  субсидии  на  иные  цели  в  случае  установления фактов нарушения Учреждением условий ее предоставления и использования.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3.3.   Контрольно-счетная комиссия муниципального образования </w:t>
      </w:r>
      <w:proofErr w:type="spell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район осуществляет  финансовый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и использования субсидии на иные цели.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4. Ответственность Сторон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5. Срок действия Соглашения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до</w:t>
      </w:r>
      <w:proofErr w:type="gramEnd"/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 "__" ____________.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6. Заключительные положения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6.1.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44608D" w:rsidRPr="0044608D" w:rsidRDefault="0044608D" w:rsidP="0044608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6.4. Настоящее Соглашение составлено в двух экземплярах, имеющих одинаковую юридическую силу, в том числе: один экземпляр - Уполномоченному органу, один экземпляр - Учреждению.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7. Местонахождение и банковские реквизиты Сторон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Уполномоченный орган                                                    Учреждение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(юридический и фактический адрес,                                (юридический и фактический адрес,</w:t>
      </w:r>
      <w:proofErr w:type="gramEnd"/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608D">
        <w:rPr>
          <w:rFonts w:ascii="Arial" w:eastAsia="Times New Roman" w:hAnsi="Arial" w:cs="Arial"/>
          <w:sz w:val="20"/>
          <w:szCs w:val="20"/>
          <w:lang w:eastAsia="ru-RU"/>
        </w:rPr>
        <w:t>банковские реквизиты)                                                       банковские реквизиты)</w:t>
      </w:r>
      <w:proofErr w:type="gramEnd"/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должность,                                                                            должность,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подпись, Ф.И.О.                                                                   подпись, Ф.И.О.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М.П.                                                                                        М.П.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к Соглашению о порядке и условиях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предоставления субсидии на цели,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 xml:space="preserve"> не </w:t>
      </w:r>
      <w:proofErr w:type="gramStart"/>
      <w:r w:rsidRPr="0044608D">
        <w:rPr>
          <w:rFonts w:ascii="Arial" w:eastAsia="Times New Roman" w:hAnsi="Arial" w:cs="Arial"/>
          <w:sz w:val="18"/>
          <w:szCs w:val="20"/>
          <w:lang w:eastAsia="ru-RU"/>
        </w:rPr>
        <w:t>связанные</w:t>
      </w:r>
      <w:proofErr w:type="gramEnd"/>
      <w:r w:rsidRPr="0044608D">
        <w:rPr>
          <w:rFonts w:ascii="Arial" w:eastAsia="Times New Roman" w:hAnsi="Arial" w:cs="Arial"/>
          <w:sz w:val="18"/>
          <w:szCs w:val="20"/>
          <w:lang w:eastAsia="ru-RU"/>
        </w:rPr>
        <w:t xml:space="preserve"> с финансовым обеспечением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 xml:space="preserve">выполнения муниципального задания 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на оказание муниципальных услуг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(выполнение работ)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График перечисления субсидии на иные цели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4"/>
        <w:gridCol w:w="3625"/>
      </w:tblGrid>
      <w:tr w:rsidR="0044608D" w:rsidRPr="0044608D" w:rsidTr="003B099D">
        <w:tc>
          <w:tcPr>
            <w:tcW w:w="3088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перечисления субсидии</w:t>
            </w:r>
          </w:p>
        </w:tc>
        <w:tc>
          <w:tcPr>
            <w:tcW w:w="1912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Сумма, рублей</w:t>
            </w:r>
          </w:p>
        </w:tc>
      </w:tr>
      <w:tr w:rsidR="0044608D" w:rsidRPr="0044608D" w:rsidTr="003B099D">
        <w:tc>
          <w:tcPr>
            <w:tcW w:w="3088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_________</w:t>
            </w:r>
          </w:p>
        </w:tc>
        <w:tc>
          <w:tcPr>
            <w:tcW w:w="1912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c>
          <w:tcPr>
            <w:tcW w:w="3088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_________</w:t>
            </w:r>
          </w:p>
        </w:tc>
        <w:tc>
          <w:tcPr>
            <w:tcW w:w="1912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c>
          <w:tcPr>
            <w:tcW w:w="3088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_________</w:t>
            </w:r>
          </w:p>
        </w:tc>
        <w:tc>
          <w:tcPr>
            <w:tcW w:w="1912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c>
          <w:tcPr>
            <w:tcW w:w="3088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912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c>
          <w:tcPr>
            <w:tcW w:w="3088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2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c>
          <w:tcPr>
            <w:tcW w:w="3088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2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c>
          <w:tcPr>
            <w:tcW w:w="3088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912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pStyle w:val="ConsPlusNormal"/>
        <w:jc w:val="right"/>
        <w:outlineLvl w:val="1"/>
        <w:rPr>
          <w:sz w:val="18"/>
        </w:rPr>
      </w:pPr>
      <w:r w:rsidRPr="0044608D">
        <w:rPr>
          <w:sz w:val="18"/>
        </w:rPr>
        <w:t>Приложение N 2</w:t>
      </w:r>
    </w:p>
    <w:p w:rsidR="0044608D" w:rsidRPr="0044608D" w:rsidRDefault="0044608D" w:rsidP="0044608D">
      <w:pPr>
        <w:pStyle w:val="ConsPlusNormal"/>
        <w:jc w:val="right"/>
        <w:rPr>
          <w:sz w:val="18"/>
          <w:lang w:val="en-US"/>
        </w:rPr>
      </w:pPr>
      <w:r w:rsidRPr="0044608D">
        <w:rPr>
          <w:sz w:val="18"/>
        </w:rPr>
        <w:t xml:space="preserve">к Порядку определения объема и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условиям предоставления из районного бюджета </w:t>
      </w:r>
    </w:p>
    <w:p w:rsidR="0044608D" w:rsidRPr="0044608D" w:rsidRDefault="0044608D" w:rsidP="0044608D">
      <w:pPr>
        <w:pStyle w:val="ConsPlusNormal"/>
        <w:jc w:val="right"/>
        <w:rPr>
          <w:sz w:val="18"/>
          <w:lang w:val="en-US"/>
        </w:rPr>
      </w:pPr>
      <w:r w:rsidRPr="0044608D">
        <w:rPr>
          <w:sz w:val="18"/>
        </w:rPr>
        <w:t xml:space="preserve">районным муниципальным бюджетным 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и автономным учреждениям субсидий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на цели, не связанные с </w:t>
      </w:r>
      <w:proofErr w:type="gramStart"/>
      <w:r w:rsidRPr="0044608D">
        <w:rPr>
          <w:sz w:val="18"/>
        </w:rPr>
        <w:t>финансовым</w:t>
      </w:r>
      <w:proofErr w:type="gramEnd"/>
      <w:r w:rsidRPr="0044608D">
        <w:rPr>
          <w:sz w:val="18"/>
        </w:rPr>
        <w:t xml:space="preserve"> 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 обеспечением выполнения муниципального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 задания на оказание </w:t>
      </w:r>
      <w:proofErr w:type="gramStart"/>
      <w:r w:rsidRPr="0044608D">
        <w:rPr>
          <w:sz w:val="18"/>
        </w:rPr>
        <w:t>муниципальных</w:t>
      </w:r>
      <w:proofErr w:type="gramEnd"/>
      <w:r w:rsidRPr="0044608D">
        <w:rPr>
          <w:sz w:val="18"/>
        </w:rPr>
        <w:t xml:space="preserve">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 услуг (выполнение работ)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</w:p>
    <w:p w:rsidR="0044608D" w:rsidRPr="0044608D" w:rsidRDefault="0044608D" w:rsidP="0044608D">
      <w:pPr>
        <w:pStyle w:val="ConsPlusNormal"/>
        <w:jc w:val="center"/>
      </w:pPr>
      <w:bookmarkStart w:id="4" w:name="P253"/>
      <w:bookmarkEnd w:id="4"/>
      <w:r w:rsidRPr="0044608D">
        <w:t>Отчет об использовании субсидии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</w:p>
    <w:p w:rsidR="0044608D" w:rsidRPr="0044608D" w:rsidRDefault="0044608D" w:rsidP="0044608D">
      <w:pPr>
        <w:pStyle w:val="ConsPlusNormal"/>
        <w:ind w:firstLine="540"/>
        <w:jc w:val="center"/>
        <w:rPr>
          <w:sz w:val="6"/>
        </w:rPr>
      </w:pPr>
    </w:p>
    <w:p w:rsidR="0044608D" w:rsidRPr="0044608D" w:rsidRDefault="0044608D" w:rsidP="0044608D">
      <w:pPr>
        <w:pStyle w:val="ConsPlusNonformat"/>
        <w:jc w:val="center"/>
        <w:rPr>
          <w:rFonts w:ascii="Arial" w:hAnsi="Arial" w:cs="Arial"/>
        </w:rPr>
      </w:pPr>
      <w:r w:rsidRPr="0044608D">
        <w:rPr>
          <w:rFonts w:ascii="Arial" w:hAnsi="Arial" w:cs="Arial"/>
        </w:rPr>
        <w:t>________________________________________________________________</w:t>
      </w:r>
    </w:p>
    <w:p w:rsidR="0044608D" w:rsidRPr="0044608D" w:rsidRDefault="0044608D" w:rsidP="0044608D">
      <w:pPr>
        <w:pStyle w:val="ConsPlusNonformat"/>
        <w:jc w:val="center"/>
        <w:rPr>
          <w:rFonts w:ascii="Arial" w:hAnsi="Arial" w:cs="Arial"/>
        </w:rPr>
      </w:pPr>
      <w:r w:rsidRPr="0044608D">
        <w:rPr>
          <w:rFonts w:ascii="Arial" w:hAnsi="Arial" w:cs="Arial"/>
        </w:rPr>
        <w:t>(наименование бюджетного или автономного учреждения)</w:t>
      </w:r>
    </w:p>
    <w:p w:rsidR="0044608D" w:rsidRPr="0044608D" w:rsidRDefault="0044608D" w:rsidP="0044608D">
      <w:pPr>
        <w:pStyle w:val="ConsPlusNonformat"/>
        <w:jc w:val="center"/>
        <w:rPr>
          <w:rFonts w:ascii="Arial" w:hAnsi="Arial" w:cs="Arial"/>
        </w:rPr>
      </w:pPr>
    </w:p>
    <w:p w:rsidR="0044608D" w:rsidRPr="0044608D" w:rsidRDefault="0044608D" w:rsidP="0044608D">
      <w:pPr>
        <w:pStyle w:val="ConsPlusNonformat"/>
        <w:jc w:val="center"/>
        <w:rPr>
          <w:rFonts w:ascii="Arial" w:hAnsi="Arial" w:cs="Arial"/>
        </w:rPr>
      </w:pPr>
      <w:r w:rsidRPr="0044608D">
        <w:rPr>
          <w:rFonts w:ascii="Arial" w:hAnsi="Arial" w:cs="Arial"/>
        </w:rPr>
        <w:t>за _______________________________________________ 20__ года</w:t>
      </w:r>
    </w:p>
    <w:p w:rsidR="0044608D" w:rsidRPr="0044608D" w:rsidRDefault="0044608D" w:rsidP="0044608D">
      <w:pPr>
        <w:pStyle w:val="ConsPlusNonformat"/>
        <w:jc w:val="center"/>
        <w:rPr>
          <w:rFonts w:ascii="Arial" w:hAnsi="Arial" w:cs="Arial"/>
        </w:rPr>
      </w:pPr>
      <w:r w:rsidRPr="0044608D">
        <w:rPr>
          <w:rFonts w:ascii="Arial" w:hAnsi="Arial" w:cs="Arial"/>
        </w:rPr>
        <w:t>(поквартально, нарастающим итогом с начала финансового года)</w:t>
      </w:r>
    </w:p>
    <w:p w:rsidR="0044608D" w:rsidRPr="0044608D" w:rsidRDefault="0044608D" w:rsidP="0044608D">
      <w:pPr>
        <w:pStyle w:val="ConsPlusNonformat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9"/>
        <w:gridCol w:w="1119"/>
        <w:gridCol w:w="671"/>
        <w:gridCol w:w="918"/>
        <w:gridCol w:w="1828"/>
        <w:gridCol w:w="1223"/>
        <w:gridCol w:w="1141"/>
        <w:gridCol w:w="1050"/>
        <w:gridCol w:w="1120"/>
      </w:tblGrid>
      <w:tr w:rsidR="0044608D" w:rsidRPr="0044608D" w:rsidTr="003B099D">
        <w:tc>
          <w:tcPr>
            <w:tcW w:w="21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lastRenderedPageBreak/>
              <w:t xml:space="preserve">N </w:t>
            </w:r>
            <w:proofErr w:type="spellStart"/>
            <w:proofErr w:type="gramStart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п</w:t>
            </w:r>
            <w:proofErr w:type="spellEnd"/>
            <w:proofErr w:type="gramEnd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/</w:t>
            </w:r>
            <w:proofErr w:type="spellStart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90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Направление расходования</w:t>
            </w:r>
          </w:p>
        </w:tc>
        <w:tc>
          <w:tcPr>
            <w:tcW w:w="3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КОСГУ</w:t>
            </w:r>
          </w:p>
        </w:tc>
        <w:tc>
          <w:tcPr>
            <w:tcW w:w="48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Годовой плановый объем работ </w:t>
            </w:r>
            <w:proofErr w:type="gramStart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( </w:t>
            </w:r>
            <w:proofErr w:type="gramEnd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руб.)</w:t>
            </w:r>
          </w:p>
        </w:tc>
        <w:tc>
          <w:tcPr>
            <w:tcW w:w="96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Перечислено бюджетному или автономному учреждению на отчетную дату </w:t>
            </w:r>
            <w:proofErr w:type="gramStart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( </w:t>
            </w:r>
            <w:proofErr w:type="gramEnd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руб.)</w:t>
            </w:r>
          </w:p>
        </w:tc>
        <w:tc>
          <w:tcPr>
            <w:tcW w:w="64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Объем выполненных работ </w:t>
            </w:r>
            <w:proofErr w:type="gramStart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( </w:t>
            </w:r>
            <w:proofErr w:type="gramEnd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руб.)</w:t>
            </w:r>
          </w:p>
        </w:tc>
        <w:tc>
          <w:tcPr>
            <w:tcW w:w="602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Фактические расходы </w:t>
            </w:r>
            <w:proofErr w:type="gramStart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( </w:t>
            </w:r>
            <w:proofErr w:type="gramEnd"/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руб.)</w:t>
            </w:r>
          </w:p>
        </w:tc>
        <w:tc>
          <w:tcPr>
            <w:tcW w:w="5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Отклонение</w:t>
            </w:r>
          </w:p>
        </w:tc>
        <w:tc>
          <w:tcPr>
            <w:tcW w:w="591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Причины отклонения</w:t>
            </w:r>
          </w:p>
        </w:tc>
      </w:tr>
      <w:tr w:rsidR="0044608D" w:rsidRPr="0044608D" w:rsidTr="003B099D">
        <w:tc>
          <w:tcPr>
            <w:tcW w:w="21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1</w:t>
            </w:r>
          </w:p>
        </w:tc>
        <w:tc>
          <w:tcPr>
            <w:tcW w:w="590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2</w:t>
            </w:r>
          </w:p>
        </w:tc>
        <w:tc>
          <w:tcPr>
            <w:tcW w:w="3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3</w:t>
            </w:r>
          </w:p>
        </w:tc>
        <w:tc>
          <w:tcPr>
            <w:tcW w:w="48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4</w:t>
            </w:r>
          </w:p>
        </w:tc>
        <w:tc>
          <w:tcPr>
            <w:tcW w:w="96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5</w:t>
            </w:r>
          </w:p>
        </w:tc>
        <w:tc>
          <w:tcPr>
            <w:tcW w:w="64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6</w:t>
            </w:r>
          </w:p>
        </w:tc>
        <w:tc>
          <w:tcPr>
            <w:tcW w:w="602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7</w:t>
            </w:r>
          </w:p>
        </w:tc>
        <w:tc>
          <w:tcPr>
            <w:tcW w:w="5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8 = 5 - 7</w:t>
            </w:r>
          </w:p>
        </w:tc>
        <w:tc>
          <w:tcPr>
            <w:tcW w:w="591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9</w:t>
            </w:r>
          </w:p>
        </w:tc>
      </w:tr>
      <w:tr w:rsidR="0044608D" w:rsidRPr="0044608D" w:rsidTr="003B099D">
        <w:trPr>
          <w:trHeight w:val="290"/>
        </w:trPr>
        <w:tc>
          <w:tcPr>
            <w:tcW w:w="21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1</w:t>
            </w:r>
          </w:p>
        </w:tc>
        <w:tc>
          <w:tcPr>
            <w:tcW w:w="590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3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48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96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64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602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91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</w:tr>
      <w:tr w:rsidR="0044608D" w:rsidRPr="0044608D" w:rsidTr="003B099D">
        <w:tc>
          <w:tcPr>
            <w:tcW w:w="21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2</w:t>
            </w:r>
          </w:p>
        </w:tc>
        <w:tc>
          <w:tcPr>
            <w:tcW w:w="590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3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48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96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64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602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91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</w:tr>
      <w:tr w:rsidR="0044608D" w:rsidRPr="0044608D" w:rsidTr="003B099D">
        <w:tc>
          <w:tcPr>
            <w:tcW w:w="21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3</w:t>
            </w:r>
          </w:p>
        </w:tc>
        <w:tc>
          <w:tcPr>
            <w:tcW w:w="590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3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48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96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64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602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91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</w:tr>
      <w:tr w:rsidR="0044608D" w:rsidRPr="0044608D" w:rsidTr="003B099D">
        <w:tc>
          <w:tcPr>
            <w:tcW w:w="21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4</w:t>
            </w:r>
          </w:p>
        </w:tc>
        <w:tc>
          <w:tcPr>
            <w:tcW w:w="590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3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48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96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64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602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91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</w:tr>
      <w:tr w:rsidR="0044608D" w:rsidRPr="0044608D" w:rsidTr="003B099D">
        <w:trPr>
          <w:trHeight w:val="304"/>
        </w:trPr>
        <w:tc>
          <w:tcPr>
            <w:tcW w:w="21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90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44608D">
              <w:rPr>
                <w:rFonts w:ascii="Arial" w:hAnsi="Arial" w:cs="Arial"/>
                <w:b w:val="0"/>
                <w:i w:val="0"/>
                <w:sz w:val="14"/>
                <w:szCs w:val="14"/>
              </w:rPr>
              <w:t>Итого</w:t>
            </w:r>
          </w:p>
        </w:tc>
        <w:tc>
          <w:tcPr>
            <w:tcW w:w="3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48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96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645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602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54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91" w:type="pct"/>
          </w:tcPr>
          <w:p w:rsidR="0044608D" w:rsidRPr="0044608D" w:rsidRDefault="0044608D" w:rsidP="003B099D">
            <w:pPr>
              <w:pStyle w:val="2"/>
              <w:spacing w:before="0" w:after="0" w:line="240" w:lineRule="auto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</w:tr>
    </w:tbl>
    <w:p w:rsidR="0044608D" w:rsidRPr="0044608D" w:rsidRDefault="0044608D" w:rsidP="0044608D">
      <w:pPr>
        <w:pStyle w:val="ConsPlusNormal"/>
        <w:jc w:val="center"/>
      </w:pPr>
    </w:p>
    <w:p w:rsidR="0044608D" w:rsidRPr="0044608D" w:rsidRDefault="0044608D" w:rsidP="0044608D">
      <w:pPr>
        <w:pStyle w:val="ConsPlusNonformat"/>
        <w:jc w:val="both"/>
        <w:rPr>
          <w:rFonts w:ascii="Arial" w:hAnsi="Arial" w:cs="Arial"/>
          <w:sz w:val="18"/>
        </w:rPr>
      </w:pPr>
      <w:r w:rsidRPr="0044608D">
        <w:rPr>
          <w:rFonts w:ascii="Arial" w:hAnsi="Arial" w:cs="Arial"/>
          <w:sz w:val="18"/>
        </w:rPr>
        <w:t xml:space="preserve">Руководитель </w:t>
      </w:r>
      <w:proofErr w:type="gramStart"/>
      <w:r w:rsidRPr="0044608D">
        <w:rPr>
          <w:rFonts w:ascii="Arial" w:hAnsi="Arial" w:cs="Arial"/>
          <w:sz w:val="18"/>
        </w:rPr>
        <w:t>бюджетного</w:t>
      </w:r>
      <w:proofErr w:type="gramEnd"/>
    </w:p>
    <w:p w:rsidR="0044608D" w:rsidRPr="0044608D" w:rsidRDefault="0044608D" w:rsidP="0044608D">
      <w:pPr>
        <w:pStyle w:val="ConsPlusNonformat"/>
        <w:jc w:val="both"/>
        <w:rPr>
          <w:rFonts w:ascii="Arial" w:hAnsi="Arial" w:cs="Arial"/>
          <w:sz w:val="18"/>
        </w:rPr>
      </w:pPr>
      <w:r w:rsidRPr="0044608D">
        <w:rPr>
          <w:rFonts w:ascii="Arial" w:hAnsi="Arial" w:cs="Arial"/>
          <w:sz w:val="18"/>
        </w:rPr>
        <w:t>или автономного учреждения              _____________ _________________</w:t>
      </w:r>
    </w:p>
    <w:p w:rsidR="0044608D" w:rsidRPr="0044608D" w:rsidRDefault="0044608D" w:rsidP="0044608D">
      <w:pPr>
        <w:pStyle w:val="ConsPlusNonformat"/>
        <w:jc w:val="both"/>
        <w:rPr>
          <w:rFonts w:ascii="Arial" w:hAnsi="Arial" w:cs="Arial"/>
          <w:sz w:val="18"/>
        </w:rPr>
      </w:pPr>
      <w:r w:rsidRPr="0044608D">
        <w:rPr>
          <w:rFonts w:ascii="Arial" w:hAnsi="Arial" w:cs="Arial"/>
          <w:sz w:val="18"/>
        </w:rPr>
        <w:t xml:space="preserve">                                           (подпись)      (Ф.И.О.)</w:t>
      </w:r>
    </w:p>
    <w:p w:rsidR="0044608D" w:rsidRPr="0044608D" w:rsidRDefault="0044608D" w:rsidP="0044608D">
      <w:pPr>
        <w:pStyle w:val="ConsPlusNonformat"/>
        <w:jc w:val="both"/>
        <w:rPr>
          <w:rFonts w:ascii="Arial" w:hAnsi="Arial" w:cs="Arial"/>
          <w:sz w:val="18"/>
        </w:rPr>
      </w:pPr>
    </w:p>
    <w:p w:rsidR="0044608D" w:rsidRPr="0044608D" w:rsidRDefault="0044608D" w:rsidP="0044608D">
      <w:pPr>
        <w:pStyle w:val="ConsPlusNonformat"/>
        <w:jc w:val="both"/>
        <w:rPr>
          <w:rFonts w:ascii="Arial" w:hAnsi="Arial" w:cs="Arial"/>
          <w:sz w:val="18"/>
        </w:rPr>
      </w:pPr>
      <w:r w:rsidRPr="0044608D">
        <w:rPr>
          <w:rFonts w:ascii="Arial" w:hAnsi="Arial" w:cs="Arial"/>
          <w:sz w:val="18"/>
        </w:rPr>
        <w:t>Главный бухгалтер                       _____________ _________________</w:t>
      </w:r>
    </w:p>
    <w:p w:rsidR="0044608D" w:rsidRPr="0044608D" w:rsidRDefault="0044608D" w:rsidP="0044608D">
      <w:pPr>
        <w:pStyle w:val="ConsPlusNonformat"/>
        <w:jc w:val="both"/>
        <w:rPr>
          <w:rFonts w:ascii="Arial" w:hAnsi="Arial" w:cs="Arial"/>
          <w:sz w:val="18"/>
        </w:rPr>
      </w:pPr>
      <w:r w:rsidRPr="0044608D">
        <w:rPr>
          <w:rFonts w:ascii="Arial" w:hAnsi="Arial" w:cs="Arial"/>
          <w:sz w:val="18"/>
        </w:rPr>
        <w:t xml:space="preserve">                                          (подпись)       (Ф.И.О.)</w:t>
      </w:r>
    </w:p>
    <w:p w:rsidR="0044608D" w:rsidRPr="0044608D" w:rsidRDefault="0044608D" w:rsidP="0044608D">
      <w:pPr>
        <w:pStyle w:val="ConsPlusNonformat"/>
        <w:jc w:val="both"/>
        <w:rPr>
          <w:rFonts w:ascii="Arial" w:hAnsi="Arial" w:cs="Arial"/>
          <w:sz w:val="18"/>
        </w:rPr>
      </w:pPr>
    </w:p>
    <w:p w:rsidR="0044608D" w:rsidRPr="0044608D" w:rsidRDefault="0044608D" w:rsidP="0044608D">
      <w:pPr>
        <w:pStyle w:val="ConsPlusNonformat"/>
        <w:jc w:val="both"/>
        <w:rPr>
          <w:rFonts w:ascii="Arial" w:hAnsi="Arial" w:cs="Arial"/>
          <w:sz w:val="18"/>
        </w:rPr>
      </w:pPr>
      <w:r w:rsidRPr="0044608D">
        <w:rPr>
          <w:rFonts w:ascii="Arial" w:hAnsi="Arial" w:cs="Arial"/>
          <w:sz w:val="18"/>
        </w:rPr>
        <w:t>М.П.</w:t>
      </w:r>
    </w:p>
    <w:p w:rsidR="0044608D" w:rsidRPr="0044608D" w:rsidRDefault="0044608D" w:rsidP="0044608D">
      <w:pPr>
        <w:pStyle w:val="ConsPlusNonformat"/>
        <w:jc w:val="both"/>
        <w:rPr>
          <w:rFonts w:ascii="Arial" w:hAnsi="Arial" w:cs="Arial"/>
          <w:sz w:val="18"/>
        </w:rPr>
      </w:pPr>
      <w:r w:rsidRPr="0044608D">
        <w:rPr>
          <w:rFonts w:ascii="Arial" w:hAnsi="Arial" w:cs="Arial"/>
          <w:sz w:val="18"/>
        </w:rPr>
        <w:t>"__" ______________ 20__ года</w:t>
      </w:r>
    </w:p>
    <w:p w:rsidR="0044608D" w:rsidRPr="0044608D" w:rsidRDefault="0044608D" w:rsidP="0044608D">
      <w:pPr>
        <w:pStyle w:val="ConsPlusNonformat"/>
        <w:jc w:val="center"/>
        <w:rPr>
          <w:rFonts w:ascii="Arial" w:hAnsi="Arial" w:cs="Arial"/>
        </w:rPr>
      </w:pPr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</w:p>
    <w:p w:rsidR="0044608D" w:rsidRPr="0044608D" w:rsidRDefault="0044608D" w:rsidP="0044608D">
      <w:pPr>
        <w:pStyle w:val="ConsPlusNormal"/>
        <w:jc w:val="right"/>
        <w:outlineLvl w:val="1"/>
        <w:rPr>
          <w:sz w:val="18"/>
        </w:rPr>
      </w:pPr>
      <w:r w:rsidRPr="0044608D">
        <w:rPr>
          <w:sz w:val="18"/>
        </w:rPr>
        <w:t>Приложение N 3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к Порядку определения объема и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условиям предоставления из районного бюджета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районным  муниципальным бюджетным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и автономным  учреждениям субсидий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на  цели, не связанные с </w:t>
      </w:r>
      <w:proofErr w:type="gramStart"/>
      <w:r w:rsidRPr="0044608D">
        <w:rPr>
          <w:sz w:val="18"/>
        </w:rPr>
        <w:t>финансовым</w:t>
      </w:r>
      <w:proofErr w:type="gramEnd"/>
      <w:r w:rsidRPr="0044608D">
        <w:rPr>
          <w:sz w:val="18"/>
        </w:rPr>
        <w:t xml:space="preserve">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 обеспечением выполнения  муниципального </w:t>
      </w:r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задания на оказание </w:t>
      </w:r>
      <w:proofErr w:type="gramStart"/>
      <w:r w:rsidRPr="0044608D">
        <w:rPr>
          <w:sz w:val="18"/>
        </w:rPr>
        <w:t>муниципальных</w:t>
      </w:r>
      <w:proofErr w:type="gramEnd"/>
    </w:p>
    <w:p w:rsidR="0044608D" w:rsidRPr="0044608D" w:rsidRDefault="0044608D" w:rsidP="0044608D">
      <w:pPr>
        <w:pStyle w:val="ConsPlusNormal"/>
        <w:jc w:val="right"/>
        <w:rPr>
          <w:sz w:val="18"/>
        </w:rPr>
      </w:pPr>
      <w:r w:rsidRPr="0044608D">
        <w:rPr>
          <w:sz w:val="18"/>
        </w:rPr>
        <w:t xml:space="preserve"> услуг  (выполнение работ)</w:t>
      </w:r>
    </w:p>
    <w:p w:rsidR="0044608D" w:rsidRPr="0044608D" w:rsidRDefault="0044608D" w:rsidP="0044608D">
      <w:pPr>
        <w:pStyle w:val="ConsPlusNormal"/>
        <w:ind w:firstLine="0"/>
        <w:jc w:val="both"/>
      </w:pPr>
    </w:p>
    <w:p w:rsidR="0044608D" w:rsidRPr="0044608D" w:rsidRDefault="0044608D" w:rsidP="0044608D">
      <w:pPr>
        <w:pStyle w:val="ConsPlusNormal"/>
        <w:jc w:val="center"/>
        <w:rPr>
          <w:szCs w:val="24"/>
        </w:rPr>
      </w:pPr>
      <w:bookmarkStart w:id="5" w:name="P375"/>
      <w:bookmarkEnd w:id="5"/>
      <w:r w:rsidRPr="0044608D">
        <w:rPr>
          <w:szCs w:val="24"/>
        </w:rPr>
        <w:t xml:space="preserve">Сводный отчет об использовании субсидии на иные цели </w:t>
      </w:r>
      <w:proofErr w:type="gramStart"/>
      <w:r w:rsidRPr="0044608D">
        <w:rPr>
          <w:szCs w:val="24"/>
        </w:rPr>
        <w:t>бюджетными</w:t>
      </w:r>
      <w:proofErr w:type="gramEnd"/>
    </w:p>
    <w:p w:rsidR="0044608D" w:rsidRPr="0044608D" w:rsidRDefault="0044608D" w:rsidP="0044608D">
      <w:pPr>
        <w:pStyle w:val="ConsPlusNormal"/>
        <w:jc w:val="center"/>
        <w:rPr>
          <w:szCs w:val="24"/>
          <w:lang w:val="en-US"/>
        </w:rPr>
      </w:pPr>
      <w:r w:rsidRPr="0044608D">
        <w:rPr>
          <w:szCs w:val="24"/>
        </w:rPr>
        <w:t>и автономными учреждениями в ____ году</w:t>
      </w:r>
    </w:p>
    <w:p w:rsidR="0044608D" w:rsidRPr="0044608D" w:rsidRDefault="0044608D" w:rsidP="0044608D">
      <w:pPr>
        <w:pStyle w:val="ConsPlusNormal"/>
        <w:jc w:val="center"/>
        <w:rPr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1043"/>
        <w:gridCol w:w="628"/>
        <w:gridCol w:w="1093"/>
        <w:gridCol w:w="828"/>
        <w:gridCol w:w="797"/>
        <w:gridCol w:w="1001"/>
        <w:gridCol w:w="1019"/>
        <w:gridCol w:w="961"/>
        <w:gridCol w:w="922"/>
        <w:gridCol w:w="892"/>
      </w:tblGrid>
      <w:tr w:rsidR="0044608D" w:rsidRPr="0044608D" w:rsidTr="003B099D">
        <w:trPr>
          <w:trHeight w:val="20"/>
        </w:trPr>
        <w:tc>
          <w:tcPr>
            <w:tcW w:w="18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41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Направление расходования субсидии на иные цели</w:t>
            </w:r>
          </w:p>
        </w:tc>
        <w:tc>
          <w:tcPr>
            <w:tcW w:w="33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КЦСР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КОСГУ</w:t>
            </w:r>
          </w:p>
        </w:tc>
        <w:tc>
          <w:tcPr>
            <w:tcW w:w="60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учреждения</w:t>
            </w:r>
          </w:p>
        </w:tc>
        <w:tc>
          <w:tcPr>
            <w:tcW w:w="46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контракта/ договора</w:t>
            </w: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Годовой плановый объем работ </w:t>
            </w:r>
            <w:proofErr w:type="gram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руб.)</w:t>
            </w:r>
          </w:p>
        </w:tc>
        <w:tc>
          <w:tcPr>
            <w:tcW w:w="557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Перечислено учреждению на отчетную дату (руб.)</w:t>
            </w:r>
          </w:p>
        </w:tc>
        <w:tc>
          <w:tcPr>
            <w:tcW w:w="556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выполненных работ </w:t>
            </w:r>
            <w:proofErr w:type="gram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руб.)</w:t>
            </w:r>
          </w:p>
        </w:tc>
        <w:tc>
          <w:tcPr>
            <w:tcW w:w="510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расходы </w:t>
            </w:r>
            <w:proofErr w:type="gram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руб.)</w:t>
            </w:r>
          </w:p>
        </w:tc>
        <w:tc>
          <w:tcPr>
            <w:tcW w:w="418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Отклонение (10) = </w:t>
            </w:r>
            <w:hyperlink w:anchor="P412" w:history="1">
              <w:r w:rsidRPr="0044608D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(7)</w:t>
              </w:r>
            </w:hyperlink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hyperlink w:anchor="P414" w:history="1">
              <w:r w:rsidRPr="0044608D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(9)</w:t>
              </w:r>
            </w:hyperlink>
          </w:p>
        </w:tc>
        <w:tc>
          <w:tcPr>
            <w:tcW w:w="418" w:type="pct"/>
          </w:tcPr>
          <w:p w:rsidR="0044608D" w:rsidRPr="0044608D" w:rsidRDefault="0044608D" w:rsidP="003B0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Причины отклонения</w:t>
            </w:r>
          </w:p>
        </w:tc>
      </w:tr>
      <w:tr w:rsidR="0044608D" w:rsidRPr="0044608D" w:rsidTr="003B099D">
        <w:trPr>
          <w:trHeight w:val="20"/>
        </w:trPr>
        <w:tc>
          <w:tcPr>
            <w:tcW w:w="18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1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7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6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0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44608D" w:rsidRPr="0044608D" w:rsidTr="003B099D">
        <w:trPr>
          <w:trHeight w:val="20"/>
        </w:trPr>
        <w:tc>
          <w:tcPr>
            <w:tcW w:w="5000" w:type="pct"/>
            <w:gridSpan w:val="11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 «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                              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», утвержденная постановлением администрации </w:t>
            </w:r>
            <w:proofErr w:type="spell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(наименование)</w:t>
            </w:r>
          </w:p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</w:t>
            </w:r>
            <w:proofErr w:type="gramEnd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_______________ № _________________ (далее – Программа)</w:t>
            </w:r>
          </w:p>
        </w:tc>
      </w:tr>
      <w:tr w:rsidR="0044608D" w:rsidRPr="0044608D" w:rsidTr="003B099D">
        <w:trPr>
          <w:trHeight w:val="20"/>
        </w:trPr>
        <w:tc>
          <w:tcPr>
            <w:tcW w:w="5000" w:type="pct"/>
            <w:gridSpan w:val="11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 Программы</w:t>
            </w:r>
          </w:p>
        </w:tc>
      </w:tr>
      <w:tr w:rsidR="0044608D" w:rsidRPr="0044608D" w:rsidTr="003B099D">
        <w:trPr>
          <w:trHeight w:val="20"/>
        </w:trPr>
        <w:tc>
          <w:tcPr>
            <w:tcW w:w="183" w:type="pct"/>
            <w:vMerge w:val="restar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1" w:type="pct"/>
            <w:vMerge w:val="restar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rPr>
          <w:trHeight w:val="20"/>
        </w:trPr>
        <w:tc>
          <w:tcPr>
            <w:tcW w:w="183" w:type="pct"/>
            <w:vMerge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rPr>
          <w:trHeight w:val="20"/>
        </w:trPr>
        <w:tc>
          <w:tcPr>
            <w:tcW w:w="183" w:type="pct"/>
            <w:vMerge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rPr>
          <w:trHeight w:val="20"/>
        </w:trPr>
        <w:tc>
          <w:tcPr>
            <w:tcW w:w="18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1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rPr>
          <w:trHeight w:val="20"/>
        </w:trPr>
        <w:tc>
          <w:tcPr>
            <w:tcW w:w="5000" w:type="pct"/>
            <w:gridSpan w:val="11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…</w:t>
            </w:r>
          </w:p>
        </w:tc>
      </w:tr>
      <w:tr w:rsidR="0044608D" w:rsidRPr="0044608D" w:rsidTr="003B099D">
        <w:trPr>
          <w:trHeight w:val="20"/>
        </w:trPr>
        <w:tc>
          <w:tcPr>
            <w:tcW w:w="5000" w:type="pct"/>
            <w:gridSpan w:val="11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n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Программы</w:t>
            </w:r>
          </w:p>
        </w:tc>
      </w:tr>
    </w:tbl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8"/>
          <w:lang w:val="en-US"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44608D">
        <w:rPr>
          <w:rFonts w:ascii="Arial" w:eastAsia="Times New Roman" w:hAnsi="Arial" w:cs="Arial"/>
          <w:sz w:val="20"/>
          <w:szCs w:val="24"/>
          <w:lang w:eastAsia="ru-RU"/>
        </w:rPr>
        <w:t>Руководитель уполномоченного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44608D">
        <w:rPr>
          <w:rFonts w:ascii="Arial" w:eastAsia="Times New Roman" w:hAnsi="Arial" w:cs="Arial"/>
          <w:sz w:val="20"/>
          <w:szCs w:val="24"/>
          <w:lang w:eastAsia="ru-RU"/>
        </w:rPr>
        <w:t>органа                                                           __________________            _________________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44608D">
        <w:rPr>
          <w:rFonts w:ascii="Arial" w:eastAsia="Times New Roman" w:hAnsi="Arial" w:cs="Arial"/>
          <w:sz w:val="20"/>
          <w:szCs w:val="24"/>
          <w:lang w:eastAsia="ru-RU"/>
        </w:rPr>
        <w:t xml:space="preserve">                                             (подпись)                                    (ФИО)</w:t>
      </w:r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44608D" w:rsidRPr="0044608D" w:rsidRDefault="0044608D" w:rsidP="0044608D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left="538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4608D">
        <w:rPr>
          <w:rFonts w:ascii="Arial" w:eastAsia="Times New Roman" w:hAnsi="Arial" w:cs="Arial"/>
          <w:sz w:val="18"/>
          <w:szCs w:val="20"/>
          <w:lang w:eastAsia="ru-RU"/>
        </w:rPr>
        <w:t xml:space="preserve">к Порядку  определения объема и условиям предоставления из районного бюджета районным муниципальным бюджетным и автономным учреждениям субсидий на  цели, не связанные с финансовым  обеспечением выполнения муниципального задания на оказание муниципальных услуг (выполнение </w:t>
      </w:r>
      <w:r w:rsidRPr="0044608D">
        <w:rPr>
          <w:rFonts w:ascii="Arial" w:eastAsia="Times New Roman" w:hAnsi="Arial" w:cs="Arial"/>
          <w:sz w:val="18"/>
          <w:szCs w:val="20"/>
          <w:lang w:eastAsia="ru-RU"/>
        </w:rPr>
        <w:lastRenderedPageBreak/>
        <w:t>работ)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left="5387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получателей и объем субсидий на иные цели 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608D">
        <w:rPr>
          <w:rFonts w:ascii="Arial" w:eastAsia="Times New Roman" w:hAnsi="Arial" w:cs="Arial"/>
          <w:sz w:val="20"/>
          <w:szCs w:val="20"/>
          <w:lang w:eastAsia="ru-RU"/>
        </w:rPr>
        <w:t>на очередной финансовый год и плановый период</w:t>
      </w:r>
    </w:p>
    <w:p w:rsidR="0044608D" w:rsidRPr="0044608D" w:rsidRDefault="0044608D" w:rsidP="0044608D">
      <w:pPr>
        <w:widowControl w:val="0"/>
        <w:autoSpaceDE w:val="0"/>
        <w:autoSpaceDN w:val="0"/>
        <w:spacing w:after="0" w:line="240" w:lineRule="auto"/>
        <w:ind w:left="6237" w:firstLine="538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583"/>
        <w:gridCol w:w="1740"/>
        <w:gridCol w:w="1338"/>
        <w:gridCol w:w="1472"/>
        <w:gridCol w:w="1472"/>
        <w:gridCol w:w="1438"/>
      </w:tblGrid>
      <w:tr w:rsidR="0044608D" w:rsidRPr="0044608D" w:rsidTr="003B099D">
        <w:trPr>
          <w:trHeight w:val="20"/>
        </w:trPr>
        <w:tc>
          <w:tcPr>
            <w:tcW w:w="276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27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Направление расходования субсидии 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на иные цели</w:t>
            </w:r>
          </w:p>
        </w:tc>
        <w:tc>
          <w:tcPr>
            <w:tcW w:w="90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учреждения</w:t>
            </w:r>
          </w:p>
        </w:tc>
        <w:tc>
          <w:tcPr>
            <w:tcW w:w="69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субсидии 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на текущий финансовый год 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руб.)</w:t>
            </w: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субсидии на 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 планового периода (руб.)</w:t>
            </w: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субсидии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на 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II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 планового периода (руб.)</w:t>
            </w:r>
          </w:p>
        </w:tc>
        <w:tc>
          <w:tcPr>
            <w:tcW w:w="751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</w:t>
            </w:r>
          </w:p>
        </w:tc>
      </w:tr>
      <w:tr w:rsidR="0044608D" w:rsidRPr="0044608D" w:rsidTr="003B099D">
        <w:trPr>
          <w:trHeight w:val="20"/>
        </w:trPr>
        <w:tc>
          <w:tcPr>
            <w:tcW w:w="276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7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0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1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</w:tr>
      <w:tr w:rsidR="0044608D" w:rsidRPr="0044608D" w:rsidTr="003B099D">
        <w:trPr>
          <w:trHeight w:val="20"/>
        </w:trPr>
        <w:tc>
          <w:tcPr>
            <w:tcW w:w="5000" w:type="pct"/>
            <w:gridSpan w:val="7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 «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                              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», утвержденная постановлением </w:t>
            </w:r>
          </w:p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(наименование)</w:t>
            </w:r>
          </w:p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администрации </w:t>
            </w:r>
            <w:proofErr w:type="spell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</w:t>
            </w:r>
            <w:proofErr w:type="gramEnd"/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_______________ № _________________ 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(далее – Программа)</w:t>
            </w:r>
          </w:p>
        </w:tc>
      </w:tr>
      <w:tr w:rsidR="0044608D" w:rsidRPr="0044608D" w:rsidTr="003B099D">
        <w:trPr>
          <w:trHeight w:val="20"/>
        </w:trPr>
        <w:tc>
          <w:tcPr>
            <w:tcW w:w="5000" w:type="pct"/>
            <w:gridSpan w:val="7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 Программы</w:t>
            </w:r>
          </w:p>
        </w:tc>
      </w:tr>
      <w:tr w:rsidR="0044608D" w:rsidRPr="0044608D" w:rsidTr="003B099D">
        <w:trPr>
          <w:trHeight w:val="20"/>
        </w:trPr>
        <w:tc>
          <w:tcPr>
            <w:tcW w:w="276" w:type="pct"/>
            <w:vMerge w:val="restar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7" w:type="pct"/>
            <w:vMerge w:val="restar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1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rPr>
          <w:trHeight w:val="20"/>
        </w:trPr>
        <w:tc>
          <w:tcPr>
            <w:tcW w:w="276" w:type="pct"/>
            <w:vMerge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7" w:type="pct"/>
            <w:vMerge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1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rPr>
          <w:trHeight w:val="20"/>
        </w:trPr>
        <w:tc>
          <w:tcPr>
            <w:tcW w:w="276" w:type="pct"/>
            <w:vMerge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7" w:type="pct"/>
            <w:vMerge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1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rPr>
          <w:trHeight w:val="20"/>
        </w:trPr>
        <w:tc>
          <w:tcPr>
            <w:tcW w:w="276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7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1" w:type="pct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608D" w:rsidRPr="0044608D" w:rsidTr="003B099D">
        <w:trPr>
          <w:trHeight w:val="20"/>
        </w:trPr>
        <w:tc>
          <w:tcPr>
            <w:tcW w:w="5000" w:type="pct"/>
            <w:gridSpan w:val="7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…</w:t>
            </w:r>
          </w:p>
        </w:tc>
      </w:tr>
      <w:tr w:rsidR="0044608D" w:rsidRPr="0044608D" w:rsidTr="003B099D">
        <w:trPr>
          <w:trHeight w:val="20"/>
        </w:trPr>
        <w:tc>
          <w:tcPr>
            <w:tcW w:w="5000" w:type="pct"/>
            <w:gridSpan w:val="7"/>
          </w:tcPr>
          <w:p w:rsidR="0044608D" w:rsidRPr="0044608D" w:rsidRDefault="0044608D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n</w:t>
            </w:r>
            <w:r w:rsidRPr="0044608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Программы</w:t>
            </w:r>
          </w:p>
        </w:tc>
      </w:tr>
    </w:tbl>
    <w:p w:rsidR="0052395A" w:rsidRDefault="0052395A"/>
    <w:sectPr w:rsidR="0052395A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608D"/>
    <w:rsid w:val="0044608D"/>
    <w:rsid w:val="0052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D"/>
    <w:rPr>
      <w:rFonts w:ascii="Calibri" w:eastAsia="Calibri" w:hAnsi="Calibri" w:cs="Times New Roman"/>
    </w:rPr>
  </w:style>
  <w:style w:type="paragraph" w:styleId="2">
    <w:name w:val="heading 2"/>
    <w:aliases w:val="Heading 2 Exec"/>
    <w:basedOn w:val="a"/>
    <w:next w:val="a"/>
    <w:link w:val="20"/>
    <w:unhideWhenUsed/>
    <w:qFormat/>
    <w:rsid w:val="00446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Exec Знак"/>
    <w:basedOn w:val="a0"/>
    <w:link w:val="2"/>
    <w:rsid w:val="00446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446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6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4608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525973E22042A67E228F3569B90E9099A48CFF4193A5FBE627B00F65EAEE786804270C0680F415355D6BBF4735291D793E593635Er4i6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F525973E22042A67E236FE40F7CFE6099311CBF3123501E2357D57A90EA8B2C6C044278228044B070497EBFA7901DE93C7F6906442468468BFE369rBi2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525973E22042A67E228F3569B90E9099A48CFF4193A5FBE627B00F65EAEE786804270C0680E415355D6BBF4735291D793E593635Er4i6I" TargetMode="External"/><Relationship Id="rId11" Type="http://schemas.openxmlformats.org/officeDocument/2006/relationships/hyperlink" Target="consultantplus://offline/ref=4EB620CF248E62090E72C3D309652706C7F1D3D03931968ACD0D9029550736D9820E469F836C1627C17C744B290193191E09C827DA66F97EBF4B2C5AN0I3I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24F525973E22042A67E228F3569B90E9099B4FC7F2113A5FBE627B00F65EAEE794801A7EC06B174A061A90EEFBr7i2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4F525973E22042A67E228F3569B90E9099A48CFF4193A5FBE627B00F65EAEE786804272C16F0D4A0F0FC6BFBD27588ED08CFB907D5E4687r7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3952</Words>
  <Characters>22533</Characters>
  <Application>Microsoft Office Word</Application>
  <DocSecurity>0</DocSecurity>
  <Lines>187</Lines>
  <Paragraphs>52</Paragraphs>
  <ScaleCrop>false</ScaleCrop>
  <Company/>
  <LinksUpToDate>false</LinksUpToDate>
  <CharactersWithSpaces>26433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2020-03-11T04:25:00Z</dcterms:created>
  <dcterms:modified xsi:type="dcterms:W3CDTF">2020-03-11T04:28:00Z</dcterms:modified>
</cp:coreProperties>
</file>