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7C" w:rsidRPr="00FA507C" w:rsidRDefault="00FA507C" w:rsidP="00FA507C">
      <w:pPr>
        <w:spacing w:after="12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2588895</wp:posOffset>
            </wp:positionH>
            <wp:positionV relativeFrom="paragraph">
              <wp:posOffset>113665</wp:posOffset>
            </wp:positionV>
            <wp:extent cx="548005" cy="680085"/>
            <wp:effectExtent l="19050" t="0" r="4445" b="0"/>
            <wp:wrapNone/>
            <wp:docPr id="21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507C" w:rsidRDefault="00FA507C" w:rsidP="00FA507C">
      <w:pPr>
        <w:spacing w:after="12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A507C" w:rsidRPr="00FA507C" w:rsidRDefault="00FA507C" w:rsidP="00FA507C">
      <w:pPr>
        <w:spacing w:after="12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A507C" w:rsidRPr="00745C7A" w:rsidRDefault="00FA507C" w:rsidP="00FA507C">
      <w:pPr>
        <w:spacing w:after="12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A507C" w:rsidRPr="00745C7A" w:rsidRDefault="00FA507C" w:rsidP="00FA507C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FA507C" w:rsidRPr="00745C7A" w:rsidRDefault="00FA507C" w:rsidP="00FA507C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FA507C" w:rsidRPr="00745C7A" w:rsidRDefault="00FA507C" w:rsidP="00FA507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11.02. 2021           </w:t>
      </w:r>
      <w:r w:rsidRPr="00FA507C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FA507C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№   90 -</w:t>
      </w:r>
      <w:proofErr w:type="spellStart"/>
      <w:proofErr w:type="gram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FA507C" w:rsidRPr="00745C7A" w:rsidRDefault="00FA507C" w:rsidP="00FA507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507C" w:rsidRPr="00745C7A" w:rsidRDefault="00FA507C" w:rsidP="00FA507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О мерах по реализации решения </w:t>
      </w:r>
      <w:proofErr w:type="spell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 от 24.12.2020 № 6/1-25 «О районном бюджете на 2021 год и плановый период 2022-2023 годов»</w:t>
      </w:r>
    </w:p>
    <w:p w:rsidR="00FA507C" w:rsidRPr="00745C7A" w:rsidRDefault="00FA507C" w:rsidP="00FA507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507C" w:rsidRPr="00745C7A" w:rsidRDefault="00FA507C" w:rsidP="00FA50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решением </w:t>
      </w:r>
      <w:proofErr w:type="spell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 от 24.12.2020 № 6/1-25 «О районном бюджете на 2021 год и плановый период 2022-2023 годов», ст. ст. 7, 43, 47  Устава </w:t>
      </w:r>
      <w:proofErr w:type="spell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FA507C" w:rsidRPr="00745C7A" w:rsidRDefault="00FA507C" w:rsidP="00FA50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FA507C" w:rsidRPr="00745C7A" w:rsidRDefault="00FA507C" w:rsidP="00FA507C">
      <w:pPr>
        <w:numPr>
          <w:ilvl w:val="0"/>
          <w:numId w:val="1"/>
        </w:numPr>
        <w:spacing w:after="0" w:line="240" w:lineRule="auto"/>
        <w:ind w:left="142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>Главным администраторам доходов районного бюджета, участвующим в формировании доходов районного бюджета:</w:t>
      </w:r>
    </w:p>
    <w:p w:rsidR="00FA507C" w:rsidRPr="00745C7A" w:rsidRDefault="00FA507C" w:rsidP="00FA50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обеспечить поступления доходов согласно утвержденным плановым назначениям по </w:t>
      </w:r>
      <w:proofErr w:type="spell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администрируемым</w:t>
      </w:r>
      <w:proofErr w:type="spell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доходам районного бюджета;</w:t>
      </w:r>
    </w:p>
    <w:p w:rsidR="00FA507C" w:rsidRPr="00745C7A" w:rsidRDefault="00FA507C" w:rsidP="00FA50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принять меры по сокращению задолженности по </w:t>
      </w:r>
      <w:proofErr w:type="spell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администрируемым</w:t>
      </w:r>
      <w:proofErr w:type="spell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платежам в бюджет (под задолженностью по платежам в бюджет для целей данного постановления понимается сумма платежа, не перечисленная в бюджет в установленный срок);</w:t>
      </w:r>
    </w:p>
    <w:p w:rsidR="00FA507C" w:rsidRPr="00745C7A" w:rsidRDefault="00FA507C" w:rsidP="00FA50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>ежеквартально одновременно</w:t>
      </w:r>
      <w:r w:rsidRPr="00FA507C">
        <w:rPr>
          <w:rFonts w:ascii="Arial" w:eastAsia="Times New Roman" w:hAnsi="Arial" w:cs="Arial"/>
          <w:sz w:val="26"/>
          <w:szCs w:val="26"/>
          <w:lang w:eastAsia="ru-RU"/>
        </w:rPr>
        <w:t xml:space="preserve"> с информацией, представляемой </w:t>
      </w:r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для составления и ведения кассового плана, направлять в финансовое управление администрации </w:t>
      </w:r>
      <w:proofErr w:type="spell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информацию о динамике задолженности по </w:t>
      </w:r>
      <w:proofErr w:type="spell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администрируемым</w:t>
      </w:r>
      <w:proofErr w:type="spell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платежам в бюджет и о мерах, принятых по сокращению данной задолженности, согласно приложению;</w:t>
      </w:r>
    </w:p>
    <w:p w:rsidR="00FA507C" w:rsidRPr="00745C7A" w:rsidRDefault="00FA507C" w:rsidP="00FA50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>осуществлять постоянную работу по уточнению платежей, относимых Управлением Федерального казн</w:t>
      </w:r>
      <w:r w:rsidRPr="00FA507C">
        <w:rPr>
          <w:rFonts w:ascii="Arial" w:eastAsia="Times New Roman" w:hAnsi="Arial" w:cs="Arial"/>
          <w:sz w:val="26"/>
          <w:szCs w:val="26"/>
          <w:lang w:eastAsia="ru-RU"/>
        </w:rPr>
        <w:t xml:space="preserve">ачейства по Красноярскому краю </w:t>
      </w:r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на невыясненные поступления, проводить разъяснительную работу </w:t>
      </w:r>
      <w:r w:rsidRPr="00745C7A">
        <w:rPr>
          <w:rFonts w:ascii="Arial" w:eastAsia="Times New Roman" w:hAnsi="Arial" w:cs="Arial"/>
          <w:sz w:val="26"/>
          <w:szCs w:val="26"/>
          <w:lang w:eastAsia="ru-RU"/>
        </w:rPr>
        <w:br/>
        <w:t>с плательщиками налогов, сборов и иных платежей в части правильности оформления платежных документов на перечисление в районный бюджет соответствующих платежей.</w:t>
      </w:r>
    </w:p>
    <w:p w:rsidR="00FA507C" w:rsidRPr="00745C7A" w:rsidRDefault="00FA507C" w:rsidP="00FA507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Поручить в целях обеспечения реализации решения </w:t>
      </w:r>
      <w:proofErr w:type="spell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  от 24.12.2020 № 6/1-25 «О районном бюджете на 2021 год и плановый период 2022-2023 годов»</w:t>
      </w:r>
    </w:p>
    <w:p w:rsidR="00FA507C" w:rsidRPr="00745C7A" w:rsidRDefault="00FA507C" w:rsidP="00FA50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>а) главным распорядителям бюджетных средств районного бюджета:</w:t>
      </w:r>
    </w:p>
    <w:p w:rsidR="00FA507C" w:rsidRPr="00745C7A" w:rsidRDefault="00FA507C" w:rsidP="00FA5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 </w:t>
      </w:r>
      <w:proofErr w:type="gram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снижения объема поступлений доходов районного бюджета</w:t>
      </w:r>
      <w:proofErr w:type="gram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обеспечить в первоочередном порядке выплату заработной платы работникам учреждений бюджетной сферы, оплату коммунальных услуг, исполнение публичных нормативных обязательств, уплату налогов;</w:t>
      </w:r>
    </w:p>
    <w:p w:rsidR="00FA507C" w:rsidRPr="00745C7A" w:rsidRDefault="00FA507C" w:rsidP="00FA5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>не допускать образования просрочен</w:t>
      </w:r>
      <w:r w:rsidRPr="00FA507C">
        <w:rPr>
          <w:rFonts w:ascii="Arial" w:eastAsia="Times New Roman" w:hAnsi="Arial" w:cs="Arial"/>
          <w:sz w:val="26"/>
          <w:szCs w:val="26"/>
          <w:lang w:eastAsia="ru-RU"/>
        </w:rPr>
        <w:t xml:space="preserve">ной кредиторской задолженности </w:t>
      </w:r>
      <w:r w:rsidRPr="00745C7A">
        <w:rPr>
          <w:rFonts w:ascii="Arial" w:eastAsia="Times New Roman" w:hAnsi="Arial" w:cs="Arial"/>
          <w:sz w:val="26"/>
          <w:szCs w:val="26"/>
          <w:lang w:eastAsia="ru-RU"/>
        </w:rPr>
        <w:t>по принятым бюджетным обязател</w:t>
      </w:r>
      <w:r w:rsidRPr="00FA507C">
        <w:rPr>
          <w:rFonts w:ascii="Arial" w:eastAsia="Times New Roman" w:hAnsi="Arial" w:cs="Arial"/>
          <w:sz w:val="26"/>
          <w:szCs w:val="26"/>
          <w:lang w:eastAsia="ru-RU"/>
        </w:rPr>
        <w:t xml:space="preserve">ьствам, а также принимать меры </w:t>
      </w:r>
      <w:r w:rsidRPr="00745C7A">
        <w:rPr>
          <w:rFonts w:ascii="Arial" w:eastAsia="Times New Roman" w:hAnsi="Arial" w:cs="Arial"/>
          <w:sz w:val="26"/>
          <w:szCs w:val="26"/>
          <w:lang w:eastAsia="ru-RU"/>
        </w:rPr>
        <w:t>по недопущению образования просроченной кредиторско</w:t>
      </w:r>
      <w:r w:rsidRPr="00FA507C">
        <w:rPr>
          <w:rFonts w:ascii="Arial" w:eastAsia="Times New Roman" w:hAnsi="Arial" w:cs="Arial"/>
          <w:sz w:val="26"/>
          <w:szCs w:val="26"/>
          <w:lang w:eastAsia="ru-RU"/>
        </w:rPr>
        <w:t xml:space="preserve">й задолженности </w:t>
      </w:r>
      <w:r w:rsidRPr="00745C7A">
        <w:rPr>
          <w:rFonts w:ascii="Arial" w:eastAsia="Times New Roman" w:hAnsi="Arial" w:cs="Arial"/>
          <w:sz w:val="26"/>
          <w:szCs w:val="26"/>
          <w:lang w:eastAsia="ru-RU"/>
        </w:rPr>
        <w:t>у районных муниципальных учреждений;</w:t>
      </w:r>
    </w:p>
    <w:p w:rsidR="00FA507C" w:rsidRPr="00745C7A" w:rsidRDefault="00FA507C" w:rsidP="00FA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не допускать увеличения утвер</w:t>
      </w:r>
      <w:r w:rsidRPr="00FA507C">
        <w:rPr>
          <w:rFonts w:ascii="Arial" w:eastAsia="Times New Roman" w:hAnsi="Arial" w:cs="Arial"/>
          <w:sz w:val="26"/>
          <w:szCs w:val="26"/>
          <w:lang w:eastAsia="ru-RU"/>
        </w:rPr>
        <w:t xml:space="preserve">жденных бюджетных ассигнований и лимитов бюджетных </w:t>
      </w:r>
      <w:r w:rsidRPr="00745C7A">
        <w:rPr>
          <w:rFonts w:ascii="Arial" w:eastAsia="Times New Roman" w:hAnsi="Arial" w:cs="Arial"/>
          <w:sz w:val="26"/>
          <w:szCs w:val="26"/>
          <w:lang w:eastAsia="ru-RU"/>
        </w:rPr>
        <w:t>обязательств</w:t>
      </w:r>
      <w:r w:rsidRPr="00FA507C">
        <w:rPr>
          <w:rFonts w:ascii="Arial" w:eastAsia="Times New Roman" w:hAnsi="Arial" w:cs="Arial"/>
          <w:sz w:val="26"/>
          <w:szCs w:val="26"/>
          <w:lang w:eastAsia="ru-RU"/>
        </w:rPr>
        <w:t xml:space="preserve"> за счет экономии, сложившейся </w:t>
      </w:r>
      <w:r w:rsidRPr="00745C7A">
        <w:rPr>
          <w:rFonts w:ascii="Arial" w:eastAsia="Times New Roman" w:hAnsi="Arial" w:cs="Arial"/>
          <w:sz w:val="26"/>
          <w:szCs w:val="26"/>
          <w:lang w:eastAsia="ru-RU"/>
        </w:rPr>
        <w:t>по результатам проведения процедур осущес</w:t>
      </w:r>
      <w:r w:rsidRPr="00FA507C">
        <w:rPr>
          <w:rFonts w:ascii="Arial" w:eastAsia="Times New Roman" w:hAnsi="Arial" w:cs="Arial"/>
          <w:sz w:val="26"/>
          <w:szCs w:val="26"/>
          <w:lang w:eastAsia="ru-RU"/>
        </w:rPr>
        <w:t xml:space="preserve">твления закупок в соответствии </w:t>
      </w:r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с Федеральным </w:t>
      </w:r>
      <w:hyperlink r:id="rId6" w:history="1">
        <w:r w:rsidRPr="00745C7A">
          <w:rPr>
            <w:rFonts w:ascii="Arial" w:eastAsia="Times New Roman" w:hAnsi="Arial" w:cs="Arial"/>
            <w:sz w:val="26"/>
            <w:szCs w:val="26"/>
            <w:lang w:eastAsia="ru-RU"/>
          </w:rPr>
          <w:t>законом</w:t>
        </w:r>
      </w:hyperlink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от 05.04.2013 </w:t>
      </w:r>
      <w:r w:rsidRPr="00FA507C">
        <w:rPr>
          <w:rFonts w:ascii="Arial" w:eastAsia="Times New Roman" w:hAnsi="Arial" w:cs="Arial"/>
          <w:sz w:val="26"/>
          <w:szCs w:val="26"/>
          <w:lang w:eastAsia="ru-RU"/>
        </w:rPr>
        <w:t xml:space="preserve">№ 44-ФЗ «О контрактной системе </w:t>
      </w:r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в сфере закупок товаров, работ, услуг для обеспечения государственных и муниципальных нужд» или Федеральным </w:t>
      </w:r>
      <w:hyperlink r:id="rId7" w:history="1">
        <w:r w:rsidRPr="00745C7A">
          <w:rPr>
            <w:rFonts w:ascii="Arial" w:eastAsia="Times New Roman" w:hAnsi="Arial" w:cs="Arial"/>
            <w:sz w:val="26"/>
            <w:szCs w:val="26"/>
            <w:lang w:eastAsia="ru-RU"/>
          </w:rPr>
          <w:t>законом</w:t>
        </w:r>
      </w:hyperlink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FA507C">
        <w:rPr>
          <w:rFonts w:ascii="Arial" w:eastAsia="Times New Roman" w:hAnsi="Arial" w:cs="Arial"/>
          <w:sz w:val="26"/>
          <w:szCs w:val="26"/>
          <w:lang w:eastAsia="ru-RU"/>
        </w:rPr>
        <w:t xml:space="preserve">от 18.07.2011 № 223-ФЗ </w:t>
      </w:r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«О закупках товаров, работ, услуг отдельными видами юридических лиц», </w:t>
      </w:r>
      <w:r w:rsidRPr="00745C7A">
        <w:rPr>
          <w:rFonts w:ascii="Arial" w:eastAsia="Times New Roman" w:hAnsi="Arial" w:cs="Arial"/>
          <w:sz w:val="26"/>
          <w:szCs w:val="26"/>
          <w:lang w:eastAsia="ru-RU"/>
        </w:rPr>
        <w:br/>
        <w:t>за исключением</w:t>
      </w:r>
      <w:proofErr w:type="gram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случая, предусмотренного пунктом 4 настоящего постановления;</w:t>
      </w:r>
    </w:p>
    <w:p w:rsidR="00FA507C" w:rsidRPr="00745C7A" w:rsidRDefault="00FA507C" w:rsidP="00FA5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>проводить работу по минимизации образования остатков средств районного бюджета на лицевых счетах главных распорядителей и получателей средств районного бюджета;</w:t>
      </w:r>
    </w:p>
    <w:p w:rsidR="00FA507C" w:rsidRPr="00745C7A" w:rsidRDefault="00FA507C" w:rsidP="00FA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б)  управлению экономики и планирования администрации </w:t>
      </w:r>
      <w:proofErr w:type="spell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района:</w:t>
      </w:r>
    </w:p>
    <w:p w:rsidR="00FA507C" w:rsidRPr="00745C7A" w:rsidRDefault="00FA507C" w:rsidP="00FA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осуществлять мониторинг показателей социально-экономического развития  </w:t>
      </w:r>
      <w:proofErr w:type="spell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влияющих на мобилизацию доходов в районный бюджет;</w:t>
      </w:r>
    </w:p>
    <w:p w:rsidR="00FA507C" w:rsidRPr="00745C7A" w:rsidRDefault="00FA507C" w:rsidP="00FA50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в) финансовому управлению администрации </w:t>
      </w:r>
      <w:proofErr w:type="spell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случае принятия решения </w:t>
      </w:r>
      <w:proofErr w:type="spell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 внесении изменений в решение </w:t>
      </w:r>
      <w:proofErr w:type="spell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  от 24.12.2020 № 6/1-25 «О районном бюджете на 2021 год и плановый период 2022-2023 годов» в течение 17 рабочих дней после вступления решения в силу направлять главным администраторам доходов районного бюджета уточненный кассовый план по доходам районного</w:t>
      </w:r>
      <w:proofErr w:type="gram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бюджета на 2021 год с помесячным распределением доходов.</w:t>
      </w:r>
    </w:p>
    <w:p w:rsidR="00FA507C" w:rsidRPr="00745C7A" w:rsidRDefault="00FA507C" w:rsidP="00FA507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В целях использования бюджетн</w:t>
      </w:r>
      <w:r w:rsidRPr="00FA507C">
        <w:rPr>
          <w:rFonts w:ascii="Arial" w:eastAsia="Times New Roman" w:hAnsi="Arial" w:cs="Arial"/>
          <w:sz w:val="26"/>
          <w:szCs w:val="26"/>
          <w:lang w:eastAsia="ru-RU"/>
        </w:rPr>
        <w:t xml:space="preserve">ых средств, полученных за счет </w:t>
      </w:r>
      <w:r w:rsidRPr="00745C7A">
        <w:rPr>
          <w:rFonts w:ascii="Arial" w:eastAsia="Times New Roman" w:hAnsi="Arial" w:cs="Arial"/>
          <w:sz w:val="26"/>
          <w:szCs w:val="26"/>
          <w:lang w:eastAsia="ru-RU"/>
        </w:rPr>
        <w:t>экономии, сложившейся по результатам проведения процедур осуществления закупок конкурентными способами в соот</w:t>
      </w:r>
      <w:r w:rsidRPr="00FA507C">
        <w:rPr>
          <w:rFonts w:ascii="Arial" w:eastAsia="Times New Roman" w:hAnsi="Arial" w:cs="Arial"/>
          <w:sz w:val="26"/>
          <w:szCs w:val="26"/>
          <w:lang w:eastAsia="ru-RU"/>
        </w:rPr>
        <w:t xml:space="preserve">ветствии с Федеральным законом </w:t>
      </w:r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от 05.04.2013 № 44-ФЗ «О контрактной системе в сфере закупок товаров, работ, услуг для обеспечения государственных </w:t>
      </w:r>
      <w:r w:rsidRPr="00FA507C">
        <w:rPr>
          <w:rFonts w:ascii="Arial" w:eastAsia="Times New Roman" w:hAnsi="Arial" w:cs="Arial"/>
          <w:sz w:val="26"/>
          <w:szCs w:val="26"/>
          <w:lang w:eastAsia="ru-RU"/>
        </w:rPr>
        <w:t xml:space="preserve">и муниципальных нужд» </w:t>
      </w:r>
      <w:r w:rsidRPr="00745C7A">
        <w:rPr>
          <w:rFonts w:ascii="Arial" w:eastAsia="Times New Roman" w:hAnsi="Arial" w:cs="Arial"/>
          <w:sz w:val="26"/>
          <w:szCs w:val="26"/>
          <w:lang w:eastAsia="ru-RU"/>
        </w:rPr>
        <w:t>(за исключением экономии, перераспределение которой  не приводит к изменению показателей сводной бюджетной росписи районного бюджета) руководствоваться «Порядком использования экономии</w:t>
      </w:r>
      <w:proofErr w:type="gram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по итогам осуществления закупок товаров, работ, услуг для обеспечения муниципальных нужд за счет средств районного бюджета», утвержденного распоряжением администрации </w:t>
      </w:r>
      <w:proofErr w:type="spell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 27.06.2017 № 199-р.</w:t>
      </w:r>
    </w:p>
    <w:p w:rsidR="00FA507C" w:rsidRPr="00745C7A" w:rsidRDefault="00FA507C" w:rsidP="00FA507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Рекомендовать главам сельсоветов </w:t>
      </w:r>
      <w:proofErr w:type="spell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района:</w:t>
      </w:r>
    </w:p>
    <w:p w:rsidR="00FA507C" w:rsidRPr="00745C7A" w:rsidRDefault="00FA507C" w:rsidP="00FA50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>разработать, утвердить и в срок до 15 февраля</w:t>
      </w:r>
      <w:r w:rsidRPr="00FA507C">
        <w:rPr>
          <w:rFonts w:ascii="Arial" w:eastAsia="Times New Roman" w:hAnsi="Arial" w:cs="Arial"/>
          <w:sz w:val="26"/>
          <w:szCs w:val="26"/>
          <w:lang w:eastAsia="ru-RU"/>
        </w:rPr>
        <w:t xml:space="preserve"> 2021 года представить </w:t>
      </w:r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в финансовое управление администрации </w:t>
      </w:r>
      <w:proofErr w:type="spell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план мероприятий по росту доходов, оптимизации расходов, совершенствованию межбюджетных отношений и долговой политики с последующим ежеквартальным направлением отчета о его реализации до 20-го числа месяца, следующего за отчетным кварталом;</w:t>
      </w:r>
    </w:p>
    <w:p w:rsidR="00FA507C" w:rsidRPr="00745C7A" w:rsidRDefault="00FA507C" w:rsidP="00FA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представлять информацию о расходовании субсидий, субвенций и иных межбюджетных трансфертов, предоставляемых из районного бюджета, главным распорядителям средств районного бюджета (по </w:t>
      </w:r>
      <w:r w:rsidRPr="00745C7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вопросам, находящимся в их компетенции) в срок не позднее 10-го числа месяца, следующего </w:t>
      </w:r>
      <w:proofErr w:type="gram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за</w:t>
      </w:r>
      <w:proofErr w:type="gram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отчетным.</w:t>
      </w:r>
    </w:p>
    <w:p w:rsidR="00FA507C" w:rsidRPr="00745C7A" w:rsidRDefault="00FA507C" w:rsidP="00FA50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     Н.В. </w:t>
      </w:r>
      <w:proofErr w:type="spell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A507C" w:rsidRPr="00745C7A" w:rsidRDefault="00FA507C" w:rsidP="00FA507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опубликования в Официальном вестнике </w:t>
      </w:r>
      <w:proofErr w:type="spell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подлежит опубликованию на официальном сайте администрации </w:t>
      </w:r>
      <w:proofErr w:type="spell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FA507C" w:rsidRPr="00745C7A" w:rsidRDefault="00FA507C" w:rsidP="00FA50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</w:p>
    <w:p w:rsidR="00FA507C" w:rsidRPr="00FA507C" w:rsidRDefault="00FA507C" w:rsidP="00FA50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745C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5C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      В.Р. Саар</w:t>
      </w:r>
    </w:p>
    <w:p w:rsidR="00FA507C" w:rsidRPr="00FA507C" w:rsidRDefault="00FA507C" w:rsidP="00FA507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FA507C" w:rsidRPr="00FA507C" w:rsidRDefault="00FA507C" w:rsidP="00FA507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A507C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FA507C" w:rsidRPr="00FA507C" w:rsidRDefault="00FA507C" w:rsidP="00FA507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A507C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 администрации </w:t>
      </w:r>
    </w:p>
    <w:p w:rsidR="00FA507C" w:rsidRPr="00FA507C" w:rsidRDefault="00FA507C" w:rsidP="00FA507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FA507C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A507C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FA507C" w:rsidRPr="00FA507C" w:rsidRDefault="00FA507C" w:rsidP="00FA507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A507C">
        <w:rPr>
          <w:rFonts w:ascii="Arial" w:eastAsia="Times New Roman" w:hAnsi="Arial" w:cs="Arial"/>
          <w:sz w:val="18"/>
          <w:szCs w:val="20"/>
          <w:lang w:eastAsia="ru-RU"/>
        </w:rPr>
        <w:t>от 11.02.2021 №  90-п</w:t>
      </w:r>
    </w:p>
    <w:p w:rsidR="00FA507C" w:rsidRPr="00FA507C" w:rsidRDefault="00FA507C" w:rsidP="00FA50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A507C" w:rsidRPr="00FA507C" w:rsidRDefault="00FA507C" w:rsidP="00FA50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507C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динамике задолженности по </w:t>
      </w:r>
      <w:proofErr w:type="spellStart"/>
      <w:r w:rsidRPr="00FA507C">
        <w:rPr>
          <w:rFonts w:ascii="Arial" w:eastAsia="Times New Roman" w:hAnsi="Arial" w:cs="Arial"/>
          <w:sz w:val="20"/>
          <w:szCs w:val="20"/>
          <w:lang w:eastAsia="ru-RU"/>
        </w:rPr>
        <w:t>администрируемым</w:t>
      </w:r>
      <w:proofErr w:type="spellEnd"/>
      <w:r w:rsidRPr="00FA507C">
        <w:rPr>
          <w:rFonts w:ascii="Arial" w:eastAsia="Times New Roman" w:hAnsi="Arial" w:cs="Arial"/>
          <w:sz w:val="20"/>
          <w:szCs w:val="20"/>
          <w:lang w:eastAsia="ru-RU"/>
        </w:rPr>
        <w:t xml:space="preserve"> платежам в бюджет</w:t>
      </w:r>
    </w:p>
    <w:p w:rsidR="00FA507C" w:rsidRPr="00FA507C" w:rsidRDefault="00FA507C" w:rsidP="00FA50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507C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</w:t>
      </w:r>
    </w:p>
    <w:p w:rsidR="00FA507C" w:rsidRPr="00FA507C" w:rsidRDefault="00FA507C" w:rsidP="00FA50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ru-RU"/>
        </w:rPr>
      </w:pPr>
      <w:r w:rsidRPr="00FA507C">
        <w:rPr>
          <w:rFonts w:ascii="Arial" w:eastAsia="Times New Roman" w:hAnsi="Arial" w:cs="Arial"/>
          <w:sz w:val="16"/>
          <w:szCs w:val="20"/>
          <w:lang w:eastAsia="ru-RU"/>
        </w:rPr>
        <w:t>(наименование главного администратора доходов районного бюджета)</w:t>
      </w:r>
    </w:p>
    <w:p w:rsidR="00FA507C" w:rsidRPr="00745C7A" w:rsidRDefault="00FA507C" w:rsidP="00FA50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644"/>
        <w:gridCol w:w="1390"/>
        <w:gridCol w:w="1111"/>
        <w:gridCol w:w="1017"/>
        <w:gridCol w:w="1111"/>
        <w:gridCol w:w="1017"/>
        <w:gridCol w:w="1017"/>
        <w:gridCol w:w="1857"/>
      </w:tblGrid>
      <w:tr w:rsidR="00FA507C" w:rsidRPr="00FA507C" w:rsidTr="00F35132">
        <w:tc>
          <w:tcPr>
            <w:tcW w:w="183" w:type="pct"/>
            <w:vMerge w:val="restart"/>
          </w:tcPr>
          <w:p w:rsidR="00FA507C" w:rsidRPr="00FA507C" w:rsidRDefault="00FA507C" w:rsidP="00F3513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507C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FA507C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FA507C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FA507C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070" w:type="pct"/>
            <w:gridSpan w:val="2"/>
          </w:tcPr>
          <w:p w:rsidR="00FA507C" w:rsidRPr="00FA507C" w:rsidRDefault="00FA507C" w:rsidP="00F3513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A507C">
              <w:rPr>
                <w:rFonts w:ascii="Arial" w:hAnsi="Arial" w:cs="Arial"/>
                <w:sz w:val="14"/>
                <w:szCs w:val="14"/>
              </w:rPr>
              <w:t>Администрируемые</w:t>
            </w:r>
            <w:proofErr w:type="spellEnd"/>
            <w:r w:rsidRPr="00FA507C">
              <w:rPr>
                <w:rFonts w:ascii="Arial" w:hAnsi="Arial" w:cs="Arial"/>
                <w:sz w:val="14"/>
                <w:szCs w:val="14"/>
              </w:rPr>
              <w:t xml:space="preserve"> доходы</w:t>
            </w:r>
          </w:p>
        </w:tc>
        <w:tc>
          <w:tcPr>
            <w:tcW w:w="2773" w:type="pct"/>
            <w:gridSpan w:val="5"/>
          </w:tcPr>
          <w:p w:rsidR="00FA507C" w:rsidRPr="00FA507C" w:rsidRDefault="00FA507C" w:rsidP="00F3513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507C">
              <w:rPr>
                <w:rFonts w:ascii="Arial" w:hAnsi="Arial" w:cs="Arial"/>
                <w:sz w:val="14"/>
                <w:szCs w:val="14"/>
              </w:rPr>
              <w:t>Задолженность по платежам в бюджет, тыс. рублей</w:t>
            </w:r>
          </w:p>
        </w:tc>
        <w:tc>
          <w:tcPr>
            <w:tcW w:w="973" w:type="pct"/>
            <w:vMerge w:val="restart"/>
          </w:tcPr>
          <w:p w:rsidR="00FA507C" w:rsidRPr="00FA507C" w:rsidRDefault="00FA507C" w:rsidP="00F3513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507C">
              <w:rPr>
                <w:rFonts w:ascii="Arial" w:hAnsi="Arial" w:cs="Arial"/>
                <w:sz w:val="14"/>
                <w:szCs w:val="14"/>
              </w:rPr>
              <w:t>Информация о мерах, принятых по сокращению задолженности</w:t>
            </w:r>
          </w:p>
        </w:tc>
      </w:tr>
      <w:tr w:rsidR="00FA507C" w:rsidRPr="00FA507C" w:rsidTr="00F35132">
        <w:tc>
          <w:tcPr>
            <w:tcW w:w="183" w:type="pct"/>
            <w:vMerge/>
          </w:tcPr>
          <w:p w:rsidR="00FA507C" w:rsidRPr="00FA507C" w:rsidRDefault="00FA507C" w:rsidP="00F3513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FA507C" w:rsidRPr="00FA507C" w:rsidRDefault="00FA507C" w:rsidP="00F3513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507C">
              <w:rPr>
                <w:rFonts w:ascii="Arial" w:hAnsi="Arial" w:cs="Arial"/>
                <w:sz w:val="14"/>
                <w:szCs w:val="14"/>
              </w:rPr>
              <w:t>КБК</w:t>
            </w:r>
          </w:p>
        </w:tc>
        <w:tc>
          <w:tcPr>
            <w:tcW w:w="730" w:type="pct"/>
          </w:tcPr>
          <w:p w:rsidR="00FA507C" w:rsidRPr="00FA507C" w:rsidRDefault="00FA507C" w:rsidP="00F3513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507C">
              <w:rPr>
                <w:rFonts w:ascii="Arial" w:hAnsi="Arial" w:cs="Arial"/>
                <w:sz w:val="14"/>
                <w:szCs w:val="14"/>
              </w:rPr>
              <w:t>наименование</w:t>
            </w:r>
          </w:p>
        </w:tc>
        <w:tc>
          <w:tcPr>
            <w:tcW w:w="584" w:type="pct"/>
          </w:tcPr>
          <w:p w:rsidR="00FA507C" w:rsidRPr="00FA507C" w:rsidRDefault="00FA507C" w:rsidP="00F3513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507C">
              <w:rPr>
                <w:rFonts w:ascii="Arial" w:hAnsi="Arial" w:cs="Arial"/>
                <w:sz w:val="14"/>
                <w:szCs w:val="14"/>
              </w:rPr>
              <w:t>на 01.01.2021</w:t>
            </w: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507C">
              <w:rPr>
                <w:rFonts w:ascii="Arial" w:hAnsi="Arial" w:cs="Arial"/>
                <w:sz w:val="14"/>
                <w:szCs w:val="14"/>
              </w:rPr>
              <w:t>на 01.04.2021</w:t>
            </w:r>
          </w:p>
        </w:tc>
        <w:tc>
          <w:tcPr>
            <w:tcW w:w="584" w:type="pct"/>
          </w:tcPr>
          <w:p w:rsidR="00FA507C" w:rsidRPr="00FA507C" w:rsidRDefault="00FA507C" w:rsidP="00F3513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507C">
              <w:rPr>
                <w:rFonts w:ascii="Arial" w:hAnsi="Arial" w:cs="Arial"/>
                <w:sz w:val="14"/>
                <w:szCs w:val="14"/>
              </w:rPr>
              <w:t>на 01.07.2021</w:t>
            </w: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507C">
              <w:rPr>
                <w:rFonts w:ascii="Arial" w:hAnsi="Arial" w:cs="Arial"/>
                <w:sz w:val="14"/>
                <w:szCs w:val="14"/>
              </w:rPr>
              <w:t>на 01.10.2021</w:t>
            </w: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507C">
              <w:rPr>
                <w:rFonts w:ascii="Arial" w:hAnsi="Arial" w:cs="Arial"/>
                <w:sz w:val="14"/>
                <w:szCs w:val="14"/>
              </w:rPr>
              <w:t>на 01.01.2022</w:t>
            </w:r>
          </w:p>
        </w:tc>
        <w:tc>
          <w:tcPr>
            <w:tcW w:w="973" w:type="pct"/>
            <w:vMerge/>
          </w:tcPr>
          <w:p w:rsidR="00FA507C" w:rsidRPr="00FA507C" w:rsidRDefault="00FA507C" w:rsidP="00F3513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507C" w:rsidRPr="00FA507C" w:rsidTr="00F35132">
        <w:tc>
          <w:tcPr>
            <w:tcW w:w="183" w:type="pct"/>
          </w:tcPr>
          <w:p w:rsidR="00FA507C" w:rsidRPr="00FA507C" w:rsidRDefault="00FA507C" w:rsidP="00F3513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FA507C" w:rsidRPr="00FA507C" w:rsidRDefault="00FA507C" w:rsidP="00F3513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</w:tcPr>
          <w:p w:rsidR="00FA507C" w:rsidRPr="00FA507C" w:rsidRDefault="00FA507C" w:rsidP="00F3513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</w:tcPr>
          <w:p w:rsidR="00FA507C" w:rsidRPr="00FA507C" w:rsidRDefault="00FA507C" w:rsidP="00F3513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</w:tcPr>
          <w:p w:rsidR="00FA507C" w:rsidRPr="00FA507C" w:rsidRDefault="00FA507C" w:rsidP="00F3513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3" w:type="pct"/>
          </w:tcPr>
          <w:p w:rsidR="00FA507C" w:rsidRPr="00FA507C" w:rsidRDefault="00FA507C" w:rsidP="00F3513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507C" w:rsidRPr="00FA507C" w:rsidTr="00F35132">
        <w:tc>
          <w:tcPr>
            <w:tcW w:w="183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3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507C" w:rsidRPr="00FA507C" w:rsidTr="00F35132">
        <w:tc>
          <w:tcPr>
            <w:tcW w:w="183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3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507C" w:rsidRPr="00FA507C" w:rsidTr="00F35132">
        <w:tc>
          <w:tcPr>
            <w:tcW w:w="183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3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507C" w:rsidRPr="00FA507C" w:rsidTr="00F35132">
        <w:tc>
          <w:tcPr>
            <w:tcW w:w="183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3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507C" w:rsidRPr="00FA507C" w:rsidTr="00F35132">
        <w:tc>
          <w:tcPr>
            <w:tcW w:w="183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3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507C" w:rsidRPr="00FA507C" w:rsidTr="00F35132">
        <w:tc>
          <w:tcPr>
            <w:tcW w:w="183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3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507C" w:rsidRPr="00FA507C" w:rsidTr="00F35132">
        <w:tc>
          <w:tcPr>
            <w:tcW w:w="183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3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507C" w:rsidRPr="00FA507C" w:rsidTr="00F35132">
        <w:tc>
          <w:tcPr>
            <w:tcW w:w="183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3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507C" w:rsidRPr="00FA507C" w:rsidTr="00F35132">
        <w:tc>
          <w:tcPr>
            <w:tcW w:w="183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3" w:type="pct"/>
          </w:tcPr>
          <w:p w:rsidR="00FA507C" w:rsidRPr="00FA507C" w:rsidRDefault="00FA507C" w:rsidP="00F3513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55F04" w:rsidRPr="00FA507C" w:rsidRDefault="00FA507C">
      <w:pPr>
        <w:rPr>
          <w:rFonts w:ascii="Arial" w:hAnsi="Arial" w:cs="Arial"/>
        </w:rPr>
      </w:pPr>
      <w:r w:rsidRPr="001D6B2E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sectPr w:rsidR="00855F04" w:rsidRPr="00FA507C" w:rsidSect="0085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A5507"/>
    <w:multiLevelType w:val="hybridMultilevel"/>
    <w:tmpl w:val="A3741318"/>
    <w:lvl w:ilvl="0" w:tplc="8A3EEEF6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507C"/>
    <w:rsid w:val="00855F04"/>
    <w:rsid w:val="00FA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6C06B5DC8B62CFB9E78A594D244023A553C7F2EDB1D012E7B54608B8FBh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6C06B5DC8B62CFB9E78A594D244023A553C7F5EAB7D012E7B54608B8FBh4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2021-04-15T09:20:00Z</dcterms:created>
  <dcterms:modified xsi:type="dcterms:W3CDTF">2021-04-15T09:21:00Z</dcterms:modified>
</cp:coreProperties>
</file>