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F311B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  <w:r w:rsidR="000F311B">
        <w:rPr>
          <w:rFonts w:ascii="Times New Roman" w:eastAsia="Times New Roman" w:hAnsi="Times New Roman"/>
          <w:b/>
          <w:sz w:val="56"/>
          <w:szCs w:val="56"/>
          <w:lang w:val="en-US" w:eastAsia="ru-RU"/>
        </w:rPr>
        <w:t>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B85B1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марта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24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AC7F52" w:rsidRDefault="00BC71B0" w:rsidP="0046511F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0151B">
        <w:rPr>
          <w:rFonts w:ascii="Times New Roman" w:hAnsi="Times New Roman"/>
          <w:bCs/>
          <w:iCs/>
          <w:sz w:val="20"/>
          <w:szCs w:val="20"/>
        </w:rPr>
        <w:t>И</w:t>
      </w:r>
      <w:r>
        <w:rPr>
          <w:rFonts w:ascii="Times New Roman" w:hAnsi="Times New Roman"/>
          <w:bCs/>
          <w:iCs/>
          <w:sz w:val="20"/>
          <w:szCs w:val="20"/>
        </w:rPr>
        <w:t>звещение о проведении аукциона на право заключения договора аренды земельного участка.</w:t>
      </w:r>
    </w:p>
    <w:p w:rsidR="00BC71B0" w:rsidRDefault="00BC71B0" w:rsidP="00804FA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D30512" w:rsidRPr="00F52C31" w:rsidRDefault="00D30512" w:rsidP="00D3051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F52C31" w:rsidRDefault="00F52C31" w:rsidP="00D3051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F52C31">
        <w:rPr>
          <w:rFonts w:ascii="Times New Roman" w:hAnsi="Times New Roman"/>
          <w:bCs/>
          <w:iCs/>
          <w:sz w:val="20"/>
          <w:szCs w:val="20"/>
          <w:lang w:val="en-US"/>
        </w:rPr>
        <w:t>Резолюция публичных слушаний</w:t>
      </w:r>
    </w:p>
    <w:p w:rsidR="0000151B" w:rsidRPr="00AC7F52" w:rsidRDefault="0000151B" w:rsidP="0046511F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C71B0" w:rsidRPr="00AC7F52" w:rsidRDefault="00BC71B0" w:rsidP="00BC71B0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Default="00F52C3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АДМИНИСТРАЦИЯ БОГУЧАНСКОГО РАЙОНА</w:t>
      </w: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F52C31" w:rsidRPr="00F52C31" w:rsidRDefault="00F52C31" w:rsidP="00F52C31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16.03.2021 № 123-р.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19.04.2021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00 мин.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24:07:2201001:9422;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F52C31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Таежнинский сельсовет, п.Таежный, ул.Новая, земельный участок, 1Г/55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гаражи боксового типа, многоэтажные, подземные и наземные гаражи, автостоянки на отдельном земельном участке, объекты гаражного назначения;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Площадь: 33+/-2 кв.м.;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52C31" w:rsidRPr="00F52C31" w:rsidRDefault="00F52C31" w:rsidP="00F5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/>
        </w:rPr>
        <w:t>Предельно (максимально и минимально) допустимые параметры разрешенного строительства ОКС</w:t>
      </w:r>
      <w:r w:rsidRPr="00F52C31">
        <w:rPr>
          <w:rFonts w:ascii="Times New Roman" w:eastAsia="Times New Roman" w:hAnsi="Times New Roman"/>
          <w:sz w:val="20"/>
          <w:szCs w:val="20"/>
          <w:lang/>
        </w:rPr>
        <w:t>: ПК – 2.  Зона гаражей и стоянок для индивидуального транспорта</w:t>
      </w:r>
    </w:p>
    <w:p w:rsidR="00F52C31" w:rsidRPr="00F52C31" w:rsidRDefault="00F52C31" w:rsidP="00F52C3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Зона предназначена для обеспечения условий формирования застройки зон гаражей и стоянок для индивидуального транспорта.</w:t>
      </w:r>
    </w:p>
    <w:p w:rsidR="00F52C31" w:rsidRPr="00F52C31" w:rsidRDefault="00F52C31" w:rsidP="00F5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F52C31" w:rsidRPr="00F52C31" w:rsidRDefault="00F52C31" w:rsidP="00F52C31">
      <w:pPr>
        <w:tabs>
          <w:tab w:val="left" w:pos="1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4"/>
        <w:gridCol w:w="2406"/>
        <w:gridCol w:w="2828"/>
      </w:tblGrid>
      <w:tr w:rsidR="00F52C31" w:rsidRPr="00F52C31" w:rsidTr="00F52C31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F52C31" w:rsidRPr="00F52C31" w:rsidTr="00F52C31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before="120"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Гаражи боксового типа, многоэтажные, подземные и наземные гаражи, автостоянки на отдельном земельном участке;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Станции технического обслуживания автомобилей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5-ти постов (без малярно-жестяных работ)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Мойки автомобилей до 2-х постов;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Автозаправочные станции для легкового автотранспорта, с количеством заправок не более 500 машин/сутки без объектов технического обслуживания автомобилей;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технического и инженерного обеспечения;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Санитарно-технические сооружения и установки коммунального назначения;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Офисы, конторы, административные службы;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пожарной охраны.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Антенны сотовой, радиорелейной, спутниковой связи.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before="120"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Коллективные овощехранилища;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Магазины товаров первой необходимости общей площадью не более 100 кв.м;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Специализированные непродовольственные магазины;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Киоски, лоточная торговля, временные павильоны розничной торговли и другие временные объекты обслуживания населения;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Предприятия общественного питания 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(кафе, столовые, буфеты);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бытового обслуживания;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before="120"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Открытые стоянки краткосрочного хранения автомобилей, площадки транзитного транспорта с местами хранения автобусов, легковых автомобилей;</w:t>
            </w:r>
          </w:p>
          <w:p w:rsidR="00F52C31" w:rsidRPr="00F52C31" w:rsidRDefault="00F52C31" w:rsidP="00F52C31">
            <w:pPr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Автостоянки для временного хранения грузовых автомобилей;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Остановочные павильоны общественного транспорта;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Линейные объекты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объекты инженерной инфраструктуры;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Малые архитектурные формы, рекламные установки;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Озеленение.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</w:tbl>
    <w:p w:rsidR="00F52C31" w:rsidRPr="00F52C31" w:rsidRDefault="00F52C31" w:rsidP="00F52C3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определяется согласно письма АО «КрасЭко» от 09.02.2021 № 017/943.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7 395,00 (семь тысяч триста девяносто пять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00 коп.).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221,85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двести двадцать один рубль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85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копеек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18.03.2021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13.04.2021.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F52C3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14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.04.2021</w:t>
      </w:r>
      <w:r w:rsidRPr="00F52C3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3 697,50 (три тысячи шестьсот девяносто семь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рублей 50 копеек).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18.03.2021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09.04.2021.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52C31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 НА ПРАВО ЗАКЛЮЧЕНИЯ ДОГОВОРА АРЕНДЫ</w:t>
      </w: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F52C31" w:rsidRPr="00F52C31" w:rsidRDefault="00F52C31" w:rsidP="00F52C31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16.03.2021 № 120-р.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19.04.2021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20 мин.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открытое предложение цены на каждый шаг аукциона.         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24:07:2201002:3162;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F52C31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Таежнинский сельсовет, п.Таежный, ул.Новая, земельный участок, 3Г/101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гаражи боксового типа, многоэтажные, подземные и наземные гаражи, автостоянки на отдельном земельном участке, для размещения подземных или многоэтажных гаражей;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Площадь: 31+/-2 кв.м.;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52C31" w:rsidRPr="00F52C31" w:rsidRDefault="00F52C31" w:rsidP="00F5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/>
        </w:rPr>
        <w:t>Предельно (максимально и минимально) допустимые параметры разрешенного строительства ОКС</w:t>
      </w:r>
      <w:r w:rsidRPr="00F52C31">
        <w:rPr>
          <w:rFonts w:ascii="Times New Roman" w:eastAsia="Times New Roman" w:hAnsi="Times New Roman"/>
          <w:sz w:val="20"/>
          <w:szCs w:val="20"/>
          <w:lang/>
        </w:rPr>
        <w:t>: ПК – 2.  Зона гаражей и стоянок для индивидуального транспорта</w:t>
      </w:r>
    </w:p>
    <w:p w:rsidR="00F52C31" w:rsidRPr="00F52C31" w:rsidRDefault="00F52C31" w:rsidP="00F52C3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Зона предназначена для обеспечения условий формирования застройки зон гаражей и стоянок для индивидуального транспорта.</w:t>
      </w:r>
    </w:p>
    <w:p w:rsidR="00F52C31" w:rsidRPr="00F52C31" w:rsidRDefault="00F52C31" w:rsidP="00F5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F52C31" w:rsidRPr="00F52C31" w:rsidRDefault="00F52C31" w:rsidP="00F52C31">
      <w:pPr>
        <w:tabs>
          <w:tab w:val="left" w:pos="1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4"/>
        <w:gridCol w:w="2406"/>
        <w:gridCol w:w="2828"/>
      </w:tblGrid>
      <w:tr w:rsidR="00F52C31" w:rsidRPr="00F52C31" w:rsidTr="00F52C31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F52C31" w:rsidRPr="00F52C31" w:rsidTr="00F52C31"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before="120"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Гаражи боксового типа, многоэтажные, подземные и наземные гаражи, автостоянки на отдельном земельном участке;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Станции технического обслуживания автомобилей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5-ти постов (без малярно-жестяных работ)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Мойки автомобилей до 2-х постов;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Автозаправочные станции для легкового автотранспорта, с количеством заправок не более 500 машин/сутки без объектов технического обслуживания автомобилей;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технического и инженерного обеспечения;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Санитарно-технические сооружения и установки коммунального назначения;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Офисы, конторы, административные службы;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80"/>
              </w:tabs>
              <w:spacing w:after="0" w:line="240" w:lineRule="auto"/>
              <w:ind w:left="0" w:hanging="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пожарной охраны.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Антенны сотовой, радиорелейной, спутниковой связи.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before="120"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Коллективные овощехранилища;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Магазины товаров первой необходимости общей площадью не более 100 кв.м;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Специализированные непродовольственные магазины;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Киоски, лоточная торговля, временные павильоны розничной торговли и другие временные объекты обслуживания населения;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 общественного питания (кафе, столовые, буфеты);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221"/>
              </w:tabs>
              <w:spacing w:after="0" w:line="240" w:lineRule="auto"/>
              <w:ind w:left="7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бытового обслуживания;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before="120"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Открытые стоянки краткосрочного хранения автомобилей, площадки транзитного транспорта с местами хранения автобусов, легковых автомобилей;</w:t>
            </w:r>
          </w:p>
          <w:p w:rsidR="00F52C31" w:rsidRPr="00F52C31" w:rsidRDefault="00F52C31" w:rsidP="00F52C31">
            <w:pPr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Автостоянки для временного хранения грузовых автомобилей;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Остановочные павильоны общественного транспорта;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Линейные объекты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объекты инженерной инфраструктуры;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Малые архитектурные формы, рекламные установки;</w:t>
            </w:r>
          </w:p>
          <w:p w:rsidR="00F52C31" w:rsidRPr="00F52C31" w:rsidRDefault="00F52C31" w:rsidP="00F52C31">
            <w:pPr>
              <w:keepLines/>
              <w:widowControl w:val="0"/>
              <w:numPr>
                <w:ilvl w:val="0"/>
                <w:numId w:val="40"/>
              </w:numPr>
              <w:tabs>
                <w:tab w:val="num" w:pos="109"/>
              </w:tabs>
              <w:spacing w:after="0" w:line="240" w:lineRule="auto"/>
              <w:ind w:left="0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Озеленение.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52C31" w:rsidRPr="00F52C31" w:rsidRDefault="00F52C31" w:rsidP="00F52C3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определяется согласно письма АО «КрасЭко» от 09.02.2021 № 017/945.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7 016,00 (семь тысяч шестнадцать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00 коп.).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210,48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двести десять рублей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48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копеек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13. Дата и время начала и окончания приема заявок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18.03.2021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13.04.2021.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F52C3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14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.04.2021</w:t>
      </w:r>
      <w:r w:rsidRPr="00F52C3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3 508,00 (три тысячи пятьсот восемь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рублей 50 копеек).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18.03.2021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09.04.2021.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52C31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 НА ПРАВО ЗАКЛЮЧЕНИЯ ДОГОВОРА АРЕНДЫ</w:t>
      </w:r>
    </w:p>
    <w:p w:rsidR="00F52C31" w:rsidRPr="00F52C31" w:rsidRDefault="00F52C31" w:rsidP="00F52C31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F52C31" w:rsidRPr="00F52C31" w:rsidRDefault="00F52C31" w:rsidP="00F52C31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распоряжение администрации Богучанского района от 16.03.2021 № 121-р.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19.04.2021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10 мин.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24:07:2202001:1288;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Российская Федерация, </w:t>
      </w:r>
      <w:r w:rsidRPr="00F52C31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муниципальный район, сельское поселение Таежнинский сельсовет, с.Карабула, земельный участок 60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Площадь: 1200+/-129 кв.м.;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52C31" w:rsidRPr="00F52C31" w:rsidRDefault="00F52C31" w:rsidP="00F52C31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52C3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Статья 44.1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Градостроительные регламенты. Жилые зоны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52C31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  <w:t>Ж-1.</w:t>
      </w:r>
      <w:r w:rsidRPr="00F52C31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 </w:t>
      </w:r>
      <w:r w:rsidRPr="00F52C31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  <w:t>Зона</w:t>
      </w:r>
      <w:r w:rsidRPr="00F52C3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индивидуальной  жилой застройки усадебного типа</w:t>
      </w:r>
      <w:r w:rsidRPr="00F52C3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Индивидуальная застройка усадебного типа выделена для обеспечения правовых условий формирования кварталов поселений комфортного жилья со средней и низкой плотностью застройки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посредством преимущественного размещения отдельно стоящих одноквартирных домов, блокированных двухквартирных и блокированных многоквартирных домов и соблюдения нижеприведенных видов разрешенного использования земельных участков и объектов капитального строительства и параметров разрешенного строительства.</w:t>
      </w:r>
    </w:p>
    <w:p w:rsidR="00F52C31" w:rsidRPr="00F52C31" w:rsidRDefault="00F52C31" w:rsidP="00F5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</w:t>
      </w:r>
    </w:p>
    <w:p w:rsidR="00F52C31" w:rsidRPr="00F52C31" w:rsidRDefault="00F52C31" w:rsidP="00F5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2"/>
        <w:gridCol w:w="2407"/>
        <w:gridCol w:w="3459"/>
      </w:tblGrid>
      <w:tr w:rsidR="00F52C31" w:rsidRPr="00F52C31" w:rsidTr="00F52C31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F52C31" w:rsidRPr="00F52C31" w:rsidTr="00F52C31">
        <w:trPr>
          <w:trHeight w:val="1306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Жилая застройка (код 2,0):</w:t>
            </w:r>
          </w:p>
          <w:p w:rsidR="00F52C31" w:rsidRPr="00F52C31" w:rsidRDefault="00F52C31" w:rsidP="00F52C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-  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индивидуального жилищного строительства 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(код 2.1); </w:t>
            </w:r>
          </w:p>
          <w:p w:rsidR="00F52C31" w:rsidRPr="00F52C31" w:rsidRDefault="00F52C31" w:rsidP="00F52C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малоэтажная многоквартирная жилая застройка (код 2.1.1);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для ведения личного подсобного хозяйства (код 2.2);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блокированная жилая застройка (код – 2.3);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Обслуживание жилой застройки (код 2.7):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-коммунальное обслуживание, распределительные пункты, трансформаторные подстанции, 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(код 3.1);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социальное  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обслуживание, 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отделения почты, связи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(код  3.2);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бытовое обслуживание (код  3.3);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здравоохранения (ФАПы), аптеки, молочные кухни (код 3.4.1);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начальное и среднее общее образование (код- 3.5.1);</w:t>
            </w:r>
          </w:p>
          <w:p w:rsidR="00F52C31" w:rsidRPr="00F52C31" w:rsidRDefault="00F52C31" w:rsidP="00F52C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культурное развитие (код 3.6);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амбулаторное ветеринарное обслуживание (код 3.10.1)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офисные помещения (4.1);</w:t>
            </w:r>
          </w:p>
          <w:p w:rsidR="00F52C31" w:rsidRPr="00F52C31" w:rsidRDefault="00F52C31" w:rsidP="00F5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-земельные участки общего пользования (код 12.0)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культурно-просветительские объекты, клубы, социальные центры, дома престарелых (код 3.2);  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религиозное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использования 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(код 3.7)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</w:pPr>
            <w:r w:rsidRPr="00F52C31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 xml:space="preserve">-магазины, </w:t>
            </w:r>
            <w:r w:rsidRPr="00F52C31"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  <w:t>(код 4.4);</w:t>
            </w:r>
            <w:r w:rsidRPr="00F52C31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 xml:space="preserve"> 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общественное питание, столовые, закусочные (код 4.6), </w:t>
            </w:r>
          </w:p>
          <w:p w:rsidR="00F52C31" w:rsidRPr="00F52C31" w:rsidRDefault="00F52C31" w:rsidP="00F52C31">
            <w:pPr>
              <w:tabs>
                <w:tab w:val="right" w:pos="25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гостиничное  </w:t>
            </w: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обслуживание (4.7);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(код 5.1)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-спортивные клубы, залы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отдельно стоящие или встроенные в дома гаражи (для автомобилей грузоподъемностью не более 1,5 тн);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хозяйственно-бытовые постройки, индивидуальные бани (на придомовом участке);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садоводства, огородничества, объекты животноводства (на придомовом участке);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детские игровые площадки, площадки для отдыха, спортивные площадки;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хозяйственные площадки;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размещение огородов для жителей многоквартирных домов в пределах придомовой территории;</w:t>
            </w:r>
          </w:p>
          <w:p w:rsidR="00F52C31" w:rsidRPr="00F52C31" w:rsidRDefault="00F52C31" w:rsidP="00F52C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дворовые туалеты,  автопарковка для личного транспорта (для автомобилей грузоподъемностью не более 1,5 тн);</w:t>
            </w:r>
          </w:p>
          <w:p w:rsidR="00F52C31" w:rsidRPr="00F52C31" w:rsidRDefault="00F52C31" w:rsidP="00F52C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оборудование пожарной охраны (гидранты, резервуары);</w:t>
            </w:r>
          </w:p>
          <w:p w:rsidR="00F52C31" w:rsidRPr="00F52C31" w:rsidRDefault="00F52C31" w:rsidP="00F52C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площадки для сбора мусора;</w:t>
            </w:r>
          </w:p>
          <w:p w:rsidR="00F52C31" w:rsidRPr="00F52C31" w:rsidRDefault="00F52C31" w:rsidP="00F52C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колодцы, скважины, </w:t>
            </w:r>
          </w:p>
          <w:p w:rsidR="00F52C31" w:rsidRPr="00F52C31" w:rsidRDefault="00F52C31" w:rsidP="00F52C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инженерное обеспечение (в том числе линейные объекты).</w:t>
            </w:r>
          </w:p>
          <w:p w:rsidR="00F52C31" w:rsidRPr="00F52C31" w:rsidRDefault="00F52C31" w:rsidP="00F52C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дороги, проезды;</w:t>
            </w:r>
          </w:p>
        </w:tc>
      </w:tr>
    </w:tbl>
    <w:p w:rsidR="00F52C31" w:rsidRPr="00F52C31" w:rsidRDefault="00F52C31" w:rsidP="00F52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Параметры: 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</w:t>
      </w:r>
      <w:r w:rsidRPr="00F52C3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Минимальная  площадь земельного участка:</w:t>
      </w:r>
    </w:p>
    <w:p w:rsidR="00F52C31" w:rsidRPr="00F52C31" w:rsidRDefault="00F52C31" w:rsidP="00F52C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1.1. Для ведения личного подсобного хозяйства – приусадебный участок (для  возведения жилого дома и хозяйственных строений, сооружений и производства сельскохозяйственной продукции) -  </w:t>
      </w:r>
      <w:smartTag w:uri="urn:schemas-microsoft-com:office:smarttags" w:element="metricconverter">
        <w:smartTagPr>
          <w:attr w:name="ProductID" w:val="200 кв. м"/>
        </w:smartTagPr>
        <w:r w:rsidRPr="00F52C31">
          <w:rPr>
            <w:rFonts w:ascii="Times New Roman" w:eastAsia="Times New Roman" w:hAnsi="Times New Roman"/>
            <w:sz w:val="20"/>
            <w:szCs w:val="20"/>
            <w:lang w:eastAsia="ru-RU"/>
          </w:rPr>
          <w:t>200 кв. м</w:t>
        </w:r>
      </w:smartTag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52C31" w:rsidRPr="00F52C31" w:rsidRDefault="00F52C31" w:rsidP="00F52C3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1.2. Для ведения огородничества - </w:t>
      </w:r>
      <w:smartTag w:uri="urn:schemas-microsoft-com:office:smarttags" w:element="metricconverter">
        <w:smartTagPr>
          <w:attr w:name="ProductID" w:val="200 кв. м"/>
        </w:smartTagPr>
        <w:r w:rsidRPr="00F52C31">
          <w:rPr>
            <w:rFonts w:ascii="Times New Roman" w:eastAsia="Times New Roman" w:hAnsi="Times New Roman"/>
            <w:sz w:val="20"/>
            <w:szCs w:val="20"/>
            <w:lang w:eastAsia="ru-RU"/>
          </w:rPr>
          <w:t>200 кв. м</w:t>
        </w:r>
      </w:smartTag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52C31" w:rsidRPr="00F52C31" w:rsidRDefault="00F52C31" w:rsidP="00F52C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1.3. Для индивидуального жилищного строительства (ИЖС): разрешенное использование для ИЖС включает в себя следующее: строительство, эксплуатация и обслуживание отдельно стоящего дома с количеством этажей не более чем три, предназначенного для проживания одной семьи, возведения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нормативов, а также для производства сельскохозяйственной продукции растительного происхождения. Содержание сельскохозяйственных животных запрещено.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Минимальная площадь земельного участка –300 кв. м.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Максимальная площадь земельного участка – 1200 кв.м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1.4. Для блока в доме блокированной застройки – </w:t>
      </w:r>
      <w:smartTag w:uri="urn:schemas-microsoft-com:office:smarttags" w:element="metricconverter">
        <w:smartTagPr>
          <w:attr w:name="ProductID" w:val="200 кв. м"/>
        </w:smartTagPr>
        <w:r w:rsidRPr="00F52C31">
          <w:rPr>
            <w:rFonts w:ascii="Times New Roman" w:eastAsia="Times New Roman" w:hAnsi="Times New Roman"/>
            <w:sz w:val="20"/>
            <w:szCs w:val="20"/>
            <w:lang w:eastAsia="ru-RU"/>
          </w:rPr>
          <w:t>200 кв. м</w:t>
        </w:r>
      </w:smartTag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2.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2C3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Максимальная площадь земельного участка:</w:t>
      </w:r>
    </w:p>
    <w:p w:rsidR="00F52C31" w:rsidRPr="00F52C31" w:rsidRDefault="00F52C31" w:rsidP="00F52C31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  <w:t>2.1. Для ведения личного подсобного хозяйства – приусадебный участок (для  возведения жилого дома и хозяйственных строений, сооружений и производства сельскохозяйственной продукции)  -  до 1200 кв. м.  в п. Таежный,   до  2000 кв. м в с. Карабула.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Предельные размеры земельных участков для индивидуальной жилищной застройки определяются нормативным правовым актом муниципального образования.</w:t>
      </w:r>
    </w:p>
    <w:p w:rsidR="00F52C31" w:rsidRPr="00F52C31" w:rsidRDefault="00F52C31" w:rsidP="00F52C31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2.1.1. В сложившейся застройке, для земельных участков, площадь которых меньше 200 кв.м., за минимальный размер принимать площадь в фактических границах, вычисленную по материалам межевания.</w:t>
      </w:r>
    </w:p>
    <w:p w:rsidR="00F52C31" w:rsidRPr="00F52C31" w:rsidRDefault="00F52C31" w:rsidP="00F52C31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Если на земельных участках, правоустанавливающие документы на которые отсутствуют, расположены жилые дома, собственность граждан на которые возникла </w:t>
      </w:r>
    </w:p>
    <w:p w:rsidR="00F52C31" w:rsidRPr="00F52C31" w:rsidRDefault="00F52C31" w:rsidP="00F52C31">
      <w:pPr>
        <w:spacing w:after="0" w:line="240" w:lineRule="auto"/>
        <w:ind w:right="-14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до введения в действие Правил землепользования и застройки Таежнинского сельсовета, установить предельные размеры таких земельных участков в фактически сложившихся границах.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2.1.3. Для льготных категорий граждан – максимальная плотность земельных участков определяется в соответствии с федеральными законами.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2.2. Для индивидуального жилищного строительства (одноквартирный жилой дом без приусадебного участка) – </w:t>
      </w:r>
      <w:smartTag w:uri="urn:schemas-microsoft-com:office:smarttags" w:element="metricconverter">
        <w:smartTagPr>
          <w:attr w:name="ProductID" w:val="300 кв. м"/>
        </w:smartTagPr>
        <w:r w:rsidRPr="00F52C31">
          <w:rPr>
            <w:rFonts w:ascii="Times New Roman" w:eastAsia="Times New Roman" w:hAnsi="Times New Roman"/>
            <w:sz w:val="20"/>
            <w:szCs w:val="20"/>
            <w:lang w:eastAsia="ru-RU"/>
          </w:rPr>
          <w:t>300 кв. м</w:t>
        </w:r>
      </w:smartTag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.    </w:t>
      </w:r>
      <w:r w:rsidRPr="00F52C3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Этажность - до 3 этажей включительно.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4.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52C31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Плотность застройки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определяется СНиП 2.07.01-89* "Градостроительство. Планировка и застройка городских и сельских поселений".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Регламенты использования территории и требования к ней определяются градостроительной документацией и СНиП 2.07.01-8*  "Градостроительство. Планировка и застройка городских и сельских поселений", СП 30-102 "Планировка и застройка территорий малоэтажного строительства", с учетом реально сложившейся градостроительной ситуации и архитектурно-планировочного решения объекта: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-усадебный одно-, двухквартирный дом должен отстоять от красной линии застройки не менее чем на 5 м, от красной линии проездов - не менее чем на 3 м;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-расстояние от хозяйственных построек до красных линий улиц и проездов должно быть не менее 5 м;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-до границы соседнего приквартирного участка расстояние по санитарно-бытовым условиям должно быть не менее: от усадебного, одно-, двухквартирного жилого дома - 3 м; от постройки для содержания скота и птицы - 4 м; от других построек (бани, гаража и др.) - 1 м; от стволов высокорослых деревьев - 4 м; среднерослых -2 м; кустарника - 1 м;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-постройки для содержанияскота и птицы предусматривается пристраивать только к усадебным одно-, двухквартирным домам при изоляции их от жилых комнат не менее чем тремя подсобными помещениями, при этом помещения для скота и птицы должны иметь изолированный наружный вход, расположенный не ближе 7 м от входа в дом;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-расстояние от окон жилых комнат до стен соседнего дома и хозяйственных построек (сарая, гаража, бани), расположенных на соседних участках, должно быть не менее 6 м;</w:t>
      </w:r>
    </w:p>
    <w:p w:rsidR="00F52C31" w:rsidRPr="00F52C31" w:rsidRDefault="00F52C31" w:rsidP="00F5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52C3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Федеральным законом от 22.07.2008г. № 123-ФЗ «Технический регламент о требованиях пожарной безопасности», статья 69, пункт 10, таблица № 11.</w:t>
      </w:r>
    </w:p>
    <w:p w:rsidR="00F52C31" w:rsidRPr="00F52C31" w:rsidRDefault="00F52C31" w:rsidP="00F52C3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Таблица №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1914"/>
        <w:gridCol w:w="1914"/>
        <w:gridCol w:w="1914"/>
        <w:gridCol w:w="1916"/>
      </w:tblGrid>
      <w:tr w:rsidR="00F52C31" w:rsidRPr="00F52C31" w:rsidTr="00F52C31">
        <w:tc>
          <w:tcPr>
            <w:tcW w:w="999" w:type="pct"/>
            <w:vMerge w:val="restar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Степень огнестойкости здания</w:t>
            </w:r>
          </w:p>
        </w:tc>
        <w:tc>
          <w:tcPr>
            <w:tcW w:w="1000" w:type="pct"/>
            <w:vMerge w:val="restar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Класс конструктивной пожарной опасности</w:t>
            </w:r>
          </w:p>
        </w:tc>
        <w:tc>
          <w:tcPr>
            <w:tcW w:w="3001" w:type="pct"/>
            <w:gridSpan w:val="3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Минимальные расстояния при степени огнестойкости и классе конструктивной пожарной опасности зданий, сооружений и строений, метры</w:t>
            </w:r>
          </w:p>
        </w:tc>
      </w:tr>
      <w:tr w:rsidR="00F52C31" w:rsidRPr="00F52C31" w:rsidTr="00F52C31">
        <w:tc>
          <w:tcPr>
            <w:tcW w:w="999" w:type="pct"/>
            <w:vMerge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I, II, III</w:t>
            </w:r>
          </w:p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С0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II, III, IV</w:t>
            </w:r>
          </w:p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1001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IV, V</w:t>
            </w:r>
          </w:p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С2,С3</w:t>
            </w:r>
          </w:p>
        </w:tc>
      </w:tr>
      <w:tr w:rsidR="00F52C31" w:rsidRPr="00F52C31" w:rsidTr="00F52C31">
        <w:tc>
          <w:tcPr>
            <w:tcW w:w="999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I, II, III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С0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1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F52C31" w:rsidRPr="00F52C31" w:rsidTr="00F52C31">
        <w:tc>
          <w:tcPr>
            <w:tcW w:w="999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II, III, IV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F52C31" w:rsidRPr="00F52C31" w:rsidTr="00F52C31">
        <w:tc>
          <w:tcPr>
            <w:tcW w:w="999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IV, V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С2, С3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pct"/>
            <w:shd w:val="clear" w:color="auto" w:fill="auto"/>
          </w:tcPr>
          <w:p w:rsidR="00F52C31" w:rsidRPr="00F52C31" w:rsidRDefault="00F52C31" w:rsidP="00F52C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52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</w:tr>
    </w:tbl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допускается уменьшать до 6 метров противопожарные расстояния между указанными типами зданий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материалов;</w:t>
      </w:r>
    </w:p>
    <w:p w:rsidR="00F52C31" w:rsidRPr="00F52C31" w:rsidRDefault="00F52C31" w:rsidP="00F52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 противопожарные 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F52C31" w:rsidRPr="00F52C31" w:rsidRDefault="00F52C31" w:rsidP="00F5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ширина земельного участка, вновь предоставляемого для строительства усадебного дома, должна составлять не менее 20 метров;</w:t>
      </w:r>
    </w:p>
    <w:p w:rsidR="00F52C31" w:rsidRPr="00F52C31" w:rsidRDefault="00F52C31" w:rsidP="00F52C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- ограждения земельных участков должны быть не выше 1,2 метра, вид ограждения и его высота должны быть единообразными, как минимум, на протяжении одного квартала с обеих сторон улицы; Ограждения между участками с целью наименьшего затенения соседних участков должны быть сетчатыми или решетчатыми, высотой не более 1,5 м с глухой частью не более 1,2 м;</w:t>
      </w:r>
    </w:p>
    <w:p w:rsidR="00F52C31" w:rsidRPr="00F52C31" w:rsidRDefault="00F52C31" w:rsidP="00F5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На приусадебном участке не допускается строительство:</w:t>
      </w:r>
    </w:p>
    <w:p w:rsidR="00F52C31" w:rsidRPr="00F52C31" w:rsidRDefault="00F52C31" w:rsidP="00F52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 зданий и сооружений производственного назначения, в том числе для грузовых автомобилей высотой помещения гаража более 3,0 метров;</w:t>
      </w:r>
    </w:p>
    <w:p w:rsidR="00F52C31" w:rsidRPr="00F52C31" w:rsidRDefault="00F52C31" w:rsidP="00F52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 сервисов по ремонту автомобилей;</w:t>
      </w:r>
    </w:p>
    <w:p w:rsidR="00F52C31" w:rsidRPr="00F52C31" w:rsidRDefault="00F52C31" w:rsidP="00F52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 зданий для содержания более 5 голов крупного рогатого скота или более 10 голов мелкого (овцы, козы, свиньи) ;</w:t>
      </w:r>
    </w:p>
    <w:p w:rsidR="00F52C31" w:rsidRPr="00F52C31" w:rsidRDefault="00F52C31" w:rsidP="00F52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- торговых точек, реконструкция надворных построек под торговые точки.</w:t>
      </w:r>
    </w:p>
    <w:p w:rsidR="00F52C31" w:rsidRPr="00F52C31" w:rsidRDefault="00F52C31" w:rsidP="00F52C31">
      <w:pPr>
        <w:keepNext/>
        <w:spacing w:before="120" w:after="0" w:line="240" w:lineRule="auto"/>
        <w:ind w:firstLine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</w:t>
      </w:r>
      <w:r w:rsidRPr="00F52C31">
        <w:rPr>
          <w:rFonts w:ascii="Times New Roman" w:eastAsia="Times New Roman" w:hAnsi="Times New Roman"/>
          <w:bCs/>
          <w:sz w:val="20"/>
          <w:szCs w:val="20"/>
          <w:lang w:eastAsia="ru-RU"/>
        </w:rPr>
        <w:t>определяется согласно письма АО «КрасЭко» от 16.11.2020 № 017/9937.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6 864,00 (шесть тысяч восемьсот шестьдесят четыре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рубля, 00 коп.).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205,92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двести пять рублей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92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копейки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18.03.2021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13.04.2021.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F52C3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14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.04.2021</w:t>
      </w:r>
      <w:r w:rsidRPr="00F52C31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3 432,00 (три тысячи четыреста тридцать два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рубля 00 копеек).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18.03.2021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09.04.2021.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F52C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20 лет.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52C3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F52C31" w:rsidRPr="00F52C31" w:rsidRDefault="00F52C31" w:rsidP="00F5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52C31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5344ED" w:rsidRDefault="005344ED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52C31" w:rsidRPr="00F52C31" w:rsidRDefault="00F52C31" w:rsidP="00F52C3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Резолюция публичных слушаний</w:t>
      </w:r>
    </w:p>
    <w:p w:rsidR="00F52C31" w:rsidRPr="00F52C31" w:rsidRDefault="00F52C31" w:rsidP="00F52C3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  <w:t>15 марта 2021 года в 12.00 часов в актовом зале администрации  Богучанского района согласно постановления Администрации Богучанского района № 155-п от 03.03.2021 г., опубликованному в Официальном вестнике № 13 от 03.03.2021 г., состоялись публичные слушания  по вопросу «О внесении изменений и дополнений в Устав Богучанского района Красноярского края».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ab/>
        <w:t>Участниками публичных слушаний стали 11 жителей Богучанского района.</w:t>
      </w:r>
    </w:p>
    <w:p w:rsidR="00F52C31" w:rsidRPr="00F52C31" w:rsidRDefault="00F52C31" w:rsidP="00F5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Участникам публичных слушаний представлен проект решения Богучанского районного Совета депутатов «О внесении изменений и дополнений в Устав Богучанского района». Предложений по изменению и дополнению проекта решения не поступило. </w:t>
      </w:r>
    </w:p>
    <w:p w:rsidR="00F52C31" w:rsidRPr="00F52C31" w:rsidRDefault="00F52C31" w:rsidP="00F52C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По результатам публичных слушаний приняты следующие рекомендации:</w:t>
      </w:r>
    </w:p>
    <w:p w:rsidR="00F52C31" w:rsidRPr="00F52C31" w:rsidRDefault="00F52C31" w:rsidP="00F52C31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Одобрить проект решения Богучанского районного Совета депутатов</w:t>
      </w:r>
      <w:r w:rsidRPr="00F52C3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«О внесении изменений и дополнений в Устав Богучанского района Красноярского края», опубликованный в Официальном Вестнике Богучанского района № 8 от 08.02.2021г.</w:t>
      </w:r>
    </w:p>
    <w:p w:rsidR="00F52C31" w:rsidRPr="00F52C31" w:rsidRDefault="00F52C31" w:rsidP="00F52C31">
      <w:pPr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Предложить Богучанскому районному Совету депутатов принять вышеназванное решение.</w:t>
      </w:r>
    </w:p>
    <w:p w:rsidR="00F52C31" w:rsidRPr="00F52C31" w:rsidRDefault="00F52C31" w:rsidP="00F52C3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C31">
        <w:rPr>
          <w:rFonts w:ascii="Times New Roman" w:eastAsia="Times New Roman" w:hAnsi="Times New Roman"/>
          <w:sz w:val="20"/>
          <w:szCs w:val="20"/>
          <w:lang w:eastAsia="ru-RU"/>
        </w:rPr>
        <w:t>3. Опубликовать результаты проведения публичных слушаний в Официальном Вестнике Богучанского района.</w:t>
      </w:r>
    </w:p>
    <w:p w:rsidR="00F52C31" w:rsidRPr="00F52C31" w:rsidRDefault="00F52C31" w:rsidP="00F52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7E35D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D30512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570720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7F" w:rsidRDefault="003C317F" w:rsidP="00F3397A">
      <w:pPr>
        <w:spacing w:after="0" w:line="240" w:lineRule="auto"/>
      </w:pPr>
      <w:r>
        <w:separator/>
      </w:r>
    </w:p>
  </w:endnote>
  <w:endnote w:type="continuationSeparator" w:id="1">
    <w:p w:rsidR="003C317F" w:rsidRDefault="003C317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D101A" w:rsidRDefault="00A20FDA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D101A" w:rsidRDefault="00A20FDA">
                      <w:pPr>
                        <w:jc w:val="center"/>
                      </w:pPr>
                      <w:r w:rsidRPr="00A20FDA">
                        <w:fldChar w:fldCharType="begin"/>
                      </w:r>
                      <w:r w:rsidR="00BD101A">
                        <w:instrText>PAGE    \* MERGEFORMAT</w:instrText>
                      </w:r>
                      <w:r w:rsidRPr="00A20FDA">
                        <w:fldChar w:fldCharType="separate"/>
                      </w:r>
                      <w:r w:rsidR="000F311B" w:rsidRPr="000F311B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A20FDA" w:rsidRPr="00A20FD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A20FDA" w:rsidRPr="00A20FDA">
                        <w:fldChar w:fldCharType="separate"/>
                      </w:r>
                      <w:r w:rsidR="000F311B" w:rsidRPr="000F311B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A20FD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D101A" w:rsidRDefault="00BD101A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D101A" w:rsidRDefault="00A20FDA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7F" w:rsidRDefault="003C317F" w:rsidP="00F3397A">
      <w:pPr>
        <w:spacing w:after="0" w:line="240" w:lineRule="auto"/>
      </w:pPr>
      <w:r>
        <w:separator/>
      </w:r>
    </w:p>
  </w:footnote>
  <w:footnote w:type="continuationSeparator" w:id="1">
    <w:p w:rsidR="003C317F" w:rsidRDefault="003C317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0D13A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9581B07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FDC13B7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8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33735C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322B5"/>
    <w:multiLevelType w:val="hybridMultilevel"/>
    <w:tmpl w:val="45FAD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BE908F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10"/>
  </w:num>
  <w:num w:numId="5">
    <w:abstractNumId w:val="36"/>
  </w:num>
  <w:num w:numId="6">
    <w:abstractNumId w:val="29"/>
  </w:num>
  <w:num w:numId="7">
    <w:abstractNumId w:val="35"/>
  </w:num>
  <w:num w:numId="8">
    <w:abstractNumId w:val="17"/>
  </w:num>
  <w:num w:numId="9">
    <w:abstractNumId w:val="34"/>
  </w:num>
  <w:num w:numId="10">
    <w:abstractNumId w:val="24"/>
  </w:num>
  <w:num w:numId="11">
    <w:abstractNumId w:val="27"/>
  </w:num>
  <w:num w:numId="12">
    <w:abstractNumId w:val="46"/>
  </w:num>
  <w:num w:numId="13">
    <w:abstractNumId w:val="45"/>
  </w:num>
  <w:num w:numId="14">
    <w:abstractNumId w:val="16"/>
  </w:num>
  <w:num w:numId="15">
    <w:abstractNumId w:val="8"/>
  </w:num>
  <w:num w:numId="16">
    <w:abstractNumId w:val="22"/>
  </w:num>
  <w:num w:numId="17">
    <w:abstractNumId w:val="9"/>
  </w:num>
  <w:num w:numId="18">
    <w:abstractNumId w:val="23"/>
  </w:num>
  <w:num w:numId="19">
    <w:abstractNumId w:val="41"/>
  </w:num>
  <w:num w:numId="20">
    <w:abstractNumId w:val="37"/>
  </w:num>
  <w:num w:numId="21">
    <w:abstractNumId w:val="28"/>
  </w:num>
  <w:num w:numId="22">
    <w:abstractNumId w:val="11"/>
  </w:num>
  <w:num w:numId="23">
    <w:abstractNumId w:val="30"/>
  </w:num>
  <w:num w:numId="24">
    <w:abstractNumId w:val="13"/>
  </w:num>
  <w:num w:numId="25">
    <w:abstractNumId w:val="20"/>
  </w:num>
  <w:num w:numId="26">
    <w:abstractNumId w:val="12"/>
  </w:num>
  <w:num w:numId="27">
    <w:abstractNumId w:val="42"/>
  </w:num>
  <w:num w:numId="28">
    <w:abstractNumId w:val="14"/>
  </w:num>
  <w:num w:numId="29">
    <w:abstractNumId w:val="43"/>
  </w:num>
  <w:num w:numId="30">
    <w:abstractNumId w:val="25"/>
  </w:num>
  <w:num w:numId="31">
    <w:abstractNumId w:val="19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2"/>
  </w:num>
  <w:num w:numId="35">
    <w:abstractNumId w:val="26"/>
  </w:num>
  <w:num w:numId="36">
    <w:abstractNumId w:val="31"/>
  </w:num>
  <w:num w:numId="37">
    <w:abstractNumId w:val="39"/>
  </w:num>
  <w:num w:numId="38">
    <w:abstractNumId w:val="21"/>
  </w:num>
  <w:num w:numId="39">
    <w:abstractNumId w:val="15"/>
  </w:num>
  <w:num w:numId="40">
    <w:abstractNumId w:val="18"/>
  </w:num>
  <w:num w:numId="41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5360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11B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4EA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8D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DE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ABC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7F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2A"/>
    <w:rsid w:val="00412DDE"/>
    <w:rsid w:val="00413FBB"/>
    <w:rsid w:val="00414271"/>
    <w:rsid w:val="00414D26"/>
    <w:rsid w:val="00414D5C"/>
    <w:rsid w:val="00414ED7"/>
    <w:rsid w:val="004150DF"/>
    <w:rsid w:val="00415145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63B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4ED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3D69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906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A23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65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5787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021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3F5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5D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40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A4D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C62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24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0FDA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0EDC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3F2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460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B5E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B14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AB9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51C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01A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75B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2F4B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0F1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493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512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63"/>
    <w:rsid w:val="00DD11A4"/>
    <w:rsid w:val="00DD13D4"/>
    <w:rsid w:val="00DD15A9"/>
    <w:rsid w:val="00DD27BA"/>
    <w:rsid w:val="00DD2F2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258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E54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3E1B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4E47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768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13F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C31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244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BBEA-BE14-4E7B-B1F1-104A95E1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26995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2021-03-18T03:56:00Z</cp:lastPrinted>
  <dcterms:created xsi:type="dcterms:W3CDTF">2021-03-18T04:40:00Z</dcterms:created>
  <dcterms:modified xsi:type="dcterms:W3CDTF">2021-03-18T04:40:00Z</dcterms:modified>
</cp:coreProperties>
</file>