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1E" w:rsidRPr="00316C1E" w:rsidRDefault="00316C1E" w:rsidP="00316C1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C1E" w:rsidRPr="00316C1E" w:rsidRDefault="00316C1E" w:rsidP="00316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C1E" w:rsidRPr="00316C1E" w:rsidRDefault="00316C1E" w:rsidP="00316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C1E" w:rsidRPr="00316C1E" w:rsidRDefault="00316C1E" w:rsidP="00316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C1E" w:rsidRPr="00316C1E" w:rsidRDefault="00316C1E" w:rsidP="00316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C1E" w:rsidRPr="00316C1E" w:rsidRDefault="00316C1E" w:rsidP="00316C1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16C1E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2698115</wp:posOffset>
            </wp:positionH>
            <wp:positionV relativeFrom="paragraph">
              <wp:posOffset>-259715</wp:posOffset>
            </wp:positionV>
            <wp:extent cx="546100" cy="679450"/>
            <wp:effectExtent l="19050" t="0" r="6350" b="0"/>
            <wp:wrapNone/>
            <wp:docPr id="5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C1E" w:rsidRPr="00316C1E" w:rsidRDefault="00316C1E" w:rsidP="00316C1E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316C1E" w:rsidRPr="00316C1E" w:rsidRDefault="00316C1E" w:rsidP="00316C1E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C1E" w:rsidRPr="00316C1E" w:rsidRDefault="00316C1E" w:rsidP="00316C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316C1E" w:rsidRPr="00316C1E" w:rsidRDefault="00316C1E" w:rsidP="00316C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16C1E" w:rsidRPr="00316C1E" w:rsidRDefault="00316C1E" w:rsidP="00316C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03.03. 2022                                с.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 127 -</w:t>
      </w:r>
      <w:proofErr w:type="spellStart"/>
      <w:proofErr w:type="gram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16C1E" w:rsidRPr="00316C1E" w:rsidRDefault="00316C1E" w:rsidP="00316C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6C1E" w:rsidRPr="00316C1E" w:rsidRDefault="00316C1E" w:rsidP="00316C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О мерах по реализации решения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от 22.12.2021 № 18/1-133 «О районном бюджете на 2022 год и плановый период 2023-2024 годов»</w:t>
      </w:r>
    </w:p>
    <w:p w:rsidR="00316C1E" w:rsidRPr="00316C1E" w:rsidRDefault="00316C1E" w:rsidP="00316C1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6C1E" w:rsidRPr="00316C1E" w:rsidRDefault="00316C1E" w:rsidP="0031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решением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от 22.12.2021 № 18/1-133 «О районном бюджете на 2022 год и плановый период 2023-2024 годов», ст. ст. 7, 43, 47  Устава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16C1E" w:rsidRPr="00316C1E" w:rsidRDefault="00316C1E" w:rsidP="00316C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16C1E" w:rsidRPr="00316C1E" w:rsidRDefault="00316C1E" w:rsidP="00316C1E">
      <w:pPr>
        <w:numPr>
          <w:ilvl w:val="0"/>
          <w:numId w:val="1"/>
        </w:numPr>
        <w:spacing w:after="0" w:line="240" w:lineRule="auto"/>
        <w:ind w:left="142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>Главным администраторам доходов районного бюджета, участвующим в формировании доходов районного бюджета: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обеспечить поступления доходов согласно утвержденным плановым назначениям по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администрируемым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доходам районного бюджета;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принять меры по сокращению задолженности по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администрируемым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ежеквартально одновременно с информацией, представляемой для составления и ведения кассового плана, направлять в финансовое управление администрации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информацию о динамике задолженности по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администрируемым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платежам в бюджет и о мерах, принятых по сокращению данной задолженности, согласно приложению;</w:t>
      </w:r>
    </w:p>
    <w:p w:rsidR="00316C1E" w:rsidRPr="00316C1E" w:rsidRDefault="00316C1E" w:rsidP="00316C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</w:t>
      </w:r>
      <w:r w:rsidRPr="00316C1E">
        <w:rPr>
          <w:rFonts w:ascii="Arial" w:eastAsia="Times New Roman" w:hAnsi="Arial" w:cs="Arial"/>
          <w:sz w:val="26"/>
          <w:szCs w:val="26"/>
          <w:lang w:eastAsia="ru-RU"/>
        </w:rPr>
        <w:br/>
        <w:t>с плательщиками налогов, сборов и иных платежей в части правильности оформления платежных документов на перечисление в районный бюджет соответствующих платежей.</w:t>
      </w:r>
    </w:p>
    <w:p w:rsidR="00316C1E" w:rsidRPr="00316C1E" w:rsidRDefault="00316C1E" w:rsidP="00316C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Поручить в целях обеспечения реализации решения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 от 22.12.2021 № 18/1-133 «О районном бюджете на 2022 год и плановый период 2023-2024 годов»</w:t>
      </w:r>
    </w:p>
    <w:p w:rsidR="00316C1E" w:rsidRPr="00316C1E" w:rsidRDefault="00316C1E" w:rsidP="00316C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>а) главным распорядителям бюджетных средств районного бюджета:</w:t>
      </w:r>
    </w:p>
    <w:p w:rsidR="00316C1E" w:rsidRPr="00316C1E" w:rsidRDefault="00316C1E" w:rsidP="003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</w:t>
      </w:r>
      <w:proofErr w:type="gram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снижения объема поступлений доходов районного бюджета</w:t>
      </w:r>
      <w:proofErr w:type="gram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316C1E" w:rsidRPr="00316C1E" w:rsidRDefault="00316C1E" w:rsidP="003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не допускать образования просроченной кредиторской задолженности </w:t>
      </w:r>
      <w:r w:rsidRPr="00316C1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 принятым бюджетным обязательствам, а также принимать меры по недопущению образования просроченной кредиторской задолженности у районных муниципальных учреждений;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</w:t>
      </w:r>
      <w:hyperlink r:id="rId6" w:history="1">
        <w:r w:rsidRPr="00316C1E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от 05.04.2013 № 44-ФЗ «О контрактной системе </w:t>
      </w:r>
      <w:r w:rsidRPr="00316C1E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в сфере закупок товаров, работ, услуг для обеспечения государственных и муниципальных нужд» или Федеральным </w:t>
      </w:r>
      <w:hyperlink r:id="rId7" w:history="1">
        <w:r w:rsidRPr="00316C1E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от 18.07.2011 № 223-ФЗ «О закупках товаров, работ, услуг отдельными видами юридических лиц», за исключением</w:t>
      </w:r>
      <w:proofErr w:type="gram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случая, предусмотренного пунктом 3 настоящего постановления;</w:t>
      </w:r>
    </w:p>
    <w:p w:rsidR="00316C1E" w:rsidRPr="00316C1E" w:rsidRDefault="00316C1E" w:rsidP="003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б)  управлению экономики и планирования администрации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района: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мониторинг показателей социально-экономического развития 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влияющих на мобилизацию доходов в районный бюджет;</w:t>
      </w:r>
    </w:p>
    <w:p w:rsidR="00316C1E" w:rsidRPr="00316C1E" w:rsidRDefault="00316C1E" w:rsidP="00316C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в) финансовому управлению администрации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случае принятия решения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 внесении изменений в решение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  «О районном бюджете на 2022 год и плановый период 2023-2024 годов» в течение 17 рабочих дней после вступления решения в силу направлять главным администраторам доходов районного бюджета уточненный кассовый план по доходам районного бюджета на 2022 год</w:t>
      </w:r>
      <w:proofErr w:type="gram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с помесячным распределением доходов.</w:t>
      </w:r>
    </w:p>
    <w:p w:rsidR="00316C1E" w:rsidRPr="00316C1E" w:rsidRDefault="00316C1E" w:rsidP="00316C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В целях использования бюджетных средств, полученных за счет экономии, сложившейся по результатам проведения процедур осуществления закупок конкурентными способами в соответствии с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(за исключением экономии, перераспределение которой  не приводит к изменению показателей сводной бюджетной росписи районного бюджета) руководствоваться «Порядком использования экономии</w:t>
      </w:r>
      <w:proofErr w:type="gram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по итогам осуществления закупок товаров, работ, услуг для обеспечения муниципальных нужд за счет средств районного бюджета», утвержденного распоряжением администрации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27.06.2017 № 199-р.</w:t>
      </w:r>
    </w:p>
    <w:p w:rsidR="00316C1E" w:rsidRPr="00316C1E" w:rsidRDefault="00316C1E" w:rsidP="00316C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Рекомендовать главам сельсоветов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района:</w:t>
      </w:r>
    </w:p>
    <w:p w:rsidR="00316C1E" w:rsidRPr="00316C1E" w:rsidRDefault="00316C1E" w:rsidP="00316C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разработать, утвердить и в срок до 15 февраля 2022 года представить в финансовое управление администрации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20-го числа месяца, следующего за отчетным кварталом;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представлять информацию о расходовании субсидий, субвенций и иных межбюджетных трансфертов, предоставляемых из районного бюджета, главным распорядителям средств районного бюджета (по вопросам, находящимся в их компетенции) в срок не позднее 10-го числа месяца, следующего </w:t>
      </w:r>
      <w:proofErr w:type="gram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отчетным.</w:t>
      </w:r>
    </w:p>
    <w:p w:rsidR="00316C1E" w:rsidRPr="00316C1E" w:rsidRDefault="00316C1E" w:rsidP="00316C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   А.С.Арсеньеву.</w:t>
      </w:r>
    </w:p>
    <w:p w:rsidR="00316C1E" w:rsidRPr="00316C1E" w:rsidRDefault="00316C1E" w:rsidP="00316C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опубликованию на официальном сайте администрации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вступает в силу со дня, следующего за днем его опубликования. 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316C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В.М. Любим</w:t>
      </w:r>
    </w:p>
    <w:p w:rsidR="00316C1E" w:rsidRPr="00316C1E" w:rsidRDefault="00316C1E" w:rsidP="00316C1E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316C1E" w:rsidRPr="00316C1E" w:rsidRDefault="00316C1E" w:rsidP="00316C1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16C1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316C1E" w:rsidRPr="00316C1E" w:rsidRDefault="00316C1E" w:rsidP="00316C1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16C1E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</w:p>
    <w:p w:rsidR="00316C1E" w:rsidRPr="00316C1E" w:rsidRDefault="00316C1E" w:rsidP="00316C1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16C1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16C1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316C1E" w:rsidRPr="00316C1E" w:rsidRDefault="00316C1E" w:rsidP="00316C1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16C1E">
        <w:rPr>
          <w:rFonts w:ascii="Arial" w:eastAsia="Times New Roman" w:hAnsi="Arial" w:cs="Arial"/>
          <w:sz w:val="18"/>
          <w:szCs w:val="20"/>
          <w:lang w:eastAsia="ru-RU"/>
        </w:rPr>
        <w:t>от  03.03.2022 №  127 -</w:t>
      </w:r>
      <w:proofErr w:type="spellStart"/>
      <w:proofErr w:type="gramStart"/>
      <w:r w:rsidRPr="00316C1E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316C1E" w:rsidRPr="00316C1E" w:rsidRDefault="00316C1E" w:rsidP="00316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C1E" w:rsidRPr="00316C1E" w:rsidRDefault="00316C1E" w:rsidP="00316C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6C1E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динамике задолженности по </w:t>
      </w:r>
      <w:proofErr w:type="spellStart"/>
      <w:r w:rsidRPr="00316C1E">
        <w:rPr>
          <w:rFonts w:ascii="Arial" w:eastAsia="Times New Roman" w:hAnsi="Arial" w:cs="Arial"/>
          <w:sz w:val="20"/>
          <w:szCs w:val="20"/>
          <w:lang w:eastAsia="ru-RU"/>
        </w:rPr>
        <w:t>администрируемым</w:t>
      </w:r>
      <w:proofErr w:type="spellEnd"/>
      <w:r w:rsidRPr="00316C1E">
        <w:rPr>
          <w:rFonts w:ascii="Arial" w:eastAsia="Times New Roman" w:hAnsi="Arial" w:cs="Arial"/>
          <w:sz w:val="20"/>
          <w:szCs w:val="20"/>
          <w:lang w:eastAsia="ru-RU"/>
        </w:rPr>
        <w:t xml:space="preserve"> платежам в бюджет</w:t>
      </w:r>
    </w:p>
    <w:p w:rsidR="00316C1E" w:rsidRPr="00316C1E" w:rsidRDefault="00316C1E" w:rsidP="00316C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6C1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</w:p>
    <w:p w:rsidR="00316C1E" w:rsidRPr="00316C1E" w:rsidRDefault="00316C1E" w:rsidP="00316C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6C1E">
        <w:rPr>
          <w:rFonts w:ascii="Arial" w:eastAsia="Times New Roman" w:hAnsi="Arial" w:cs="Arial"/>
          <w:sz w:val="20"/>
          <w:szCs w:val="20"/>
          <w:lang w:eastAsia="ru-RU"/>
        </w:rPr>
        <w:t>(наименование главного администратора доходов районного бюджета)</w:t>
      </w:r>
    </w:p>
    <w:p w:rsidR="00316C1E" w:rsidRPr="00316C1E" w:rsidRDefault="00316C1E" w:rsidP="00316C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644"/>
        <w:gridCol w:w="1390"/>
        <w:gridCol w:w="1111"/>
        <w:gridCol w:w="1017"/>
        <w:gridCol w:w="1111"/>
        <w:gridCol w:w="1017"/>
        <w:gridCol w:w="1017"/>
        <w:gridCol w:w="1857"/>
      </w:tblGrid>
      <w:tr w:rsidR="00316C1E" w:rsidRPr="00316C1E" w:rsidTr="001764F1">
        <w:tc>
          <w:tcPr>
            <w:tcW w:w="183" w:type="pct"/>
            <w:vMerge w:val="restar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70" w:type="pct"/>
            <w:gridSpan w:val="2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Администрируемые</w:t>
            </w:r>
            <w:proofErr w:type="spellEnd"/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доходы</w:t>
            </w:r>
          </w:p>
        </w:tc>
        <w:tc>
          <w:tcPr>
            <w:tcW w:w="2773" w:type="pct"/>
            <w:gridSpan w:val="5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Задолженность по платежам в бюджет, тыс. рублей</w:t>
            </w:r>
          </w:p>
        </w:tc>
        <w:tc>
          <w:tcPr>
            <w:tcW w:w="973" w:type="pct"/>
            <w:vMerge w:val="restar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Информация о мерах, принятых по сокращению задолженности</w:t>
            </w:r>
          </w:p>
        </w:tc>
      </w:tr>
      <w:tr w:rsidR="00316C1E" w:rsidRPr="00316C1E" w:rsidTr="001764F1">
        <w:tc>
          <w:tcPr>
            <w:tcW w:w="183" w:type="pct"/>
            <w:vMerge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КБК</w:t>
            </w: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01.01.2022</w:t>
            </w: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01.04.2022</w:t>
            </w: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01.07.2022</w:t>
            </w: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01.10.2022</w:t>
            </w: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16C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01.01.2023</w:t>
            </w:r>
          </w:p>
        </w:tc>
        <w:tc>
          <w:tcPr>
            <w:tcW w:w="973" w:type="pct"/>
            <w:vMerge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6C1E" w:rsidRPr="00316C1E" w:rsidTr="001764F1">
        <w:tc>
          <w:tcPr>
            <w:tcW w:w="18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5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</w:tcPr>
          <w:p w:rsidR="00316C1E" w:rsidRPr="00316C1E" w:rsidRDefault="00316C1E" w:rsidP="001764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16C1E" w:rsidRPr="00316C1E" w:rsidRDefault="00316C1E" w:rsidP="00316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16C1E"/>
    <w:rsid w:val="00316C1E"/>
    <w:rsid w:val="00B73BE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C06B5DC8B62CFB9E78A594D244023A553C7F2EDB1D012E7B54608B8FB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6C06B5DC8B62CFB9E78A594D244023A553C7F5EAB7D012E7B54608B8FBh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2022-05-12T07:13:00Z</dcterms:created>
  <dcterms:modified xsi:type="dcterms:W3CDTF">2022-05-12T07:14:00Z</dcterms:modified>
</cp:coreProperties>
</file>