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24" w:rsidRPr="00735582" w:rsidRDefault="002C2724" w:rsidP="002C2724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2724">
        <w:rPr>
          <w:rFonts w:ascii="Times New Roman" w:eastAsia="Times New Roman" w:hAnsi="Times New Roman"/>
          <w:b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10.08.2022                                     с.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767-п</w:t>
      </w: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24" w:rsidRPr="002C2724" w:rsidRDefault="002C2724" w:rsidP="002C272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2C2724" w:rsidRPr="002C2724" w:rsidRDefault="002C2724" w:rsidP="002C27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«Муниципальная программа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1 к муниципальной программе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постановлению № 2 к настоящему постановлению;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1.3. </w:t>
      </w:r>
      <w:proofErr w:type="gram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 к муниципальной программе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постановлению № 3 к настоящему постановлению;</w:t>
      </w:r>
      <w:proofErr w:type="gramEnd"/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1.4. Приложение № 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4 к настоящему постановлению;</w:t>
      </w:r>
    </w:p>
    <w:p w:rsidR="002C2724" w:rsidRPr="002C2724" w:rsidRDefault="002C2724" w:rsidP="002C27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1.5. </w:t>
      </w:r>
      <w:proofErr w:type="gram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8 к муниципальной программе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5 к настоящему постановлению;</w:t>
      </w:r>
      <w:proofErr w:type="gramEnd"/>
    </w:p>
    <w:p w:rsidR="002C2724" w:rsidRPr="002C2724" w:rsidRDefault="002C2724" w:rsidP="002C27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1.6.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6 к настоящему постановлению.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муниципальной программе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 7 к настоящему постановлению;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3 к муниципальной программе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 8 к настоящему постановлению;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2C2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2C2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2C272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24" w:rsidRPr="002C2724" w:rsidRDefault="002C2724" w:rsidP="002C272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C272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Медведев</w:t>
      </w:r>
    </w:p>
    <w:p w:rsidR="002C2724" w:rsidRPr="002C2724" w:rsidRDefault="002C2724" w:rsidP="002C27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</w:t>
      </w:r>
      <w:r w:rsidRPr="002C2724">
        <w:rPr>
          <w:rFonts w:ascii="Arial" w:eastAsia="Times New Roman" w:hAnsi="Arial" w:cs="Arial"/>
          <w:sz w:val="18"/>
          <w:szCs w:val="20"/>
          <w:lang w:eastAsia="ru-RU"/>
        </w:rPr>
        <w:t>Приложение №1 к постановлению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администрации </w:t>
      </w:r>
      <w:proofErr w:type="spellStart"/>
      <w:r w:rsidRPr="002C272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от 10.08.2022 № 767-п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Приложение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</w:t>
      </w:r>
      <w:proofErr w:type="spellStart"/>
      <w:r w:rsidRPr="002C272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   от  01.11.2013 № 1391-п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2C2724" w:rsidRPr="002C2724" w:rsidRDefault="002C2724" w:rsidP="002C272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с 2021 года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7.«”Чистая вода” на территории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2C2724" w:rsidRPr="002C2724" w:rsidRDefault="002C2724" w:rsidP="002C272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3 197 350 028,63 рублей, из них:</w:t>
            </w:r>
          </w:p>
          <w:p w:rsidR="002C2724" w:rsidRPr="002C2724" w:rsidRDefault="002C2724" w:rsidP="00770FD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430 187 215,67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2024 году –                  0,00 рублей.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2 520 800 860,33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389 255 467,00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452 422 168,3 рублей, из них:</w:t>
            </w:r>
          </w:p>
          <w:p w:rsidR="002C2724" w:rsidRPr="002C2724" w:rsidRDefault="002C2724" w:rsidP="00770FD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2C2724" w:rsidRPr="002C2724" w:rsidRDefault="002C2724" w:rsidP="00770FD8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40 931 748,67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2C2724" w:rsidRPr="002C2724" w:rsidRDefault="002C2724" w:rsidP="00770FD8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2C2724" w:rsidRPr="002C2724" w:rsidRDefault="002C2724" w:rsidP="00770FD8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2C2724" w:rsidRPr="002C2724" w:rsidRDefault="002C2724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2C2724" w:rsidRPr="002C2724" w:rsidTr="00770FD8">
        <w:trPr>
          <w:trHeight w:val="20"/>
        </w:trPr>
        <w:tc>
          <w:tcPr>
            <w:tcW w:w="1397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2C2724" w:rsidRPr="002C2724" w:rsidRDefault="002C2724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  <w:p w:rsidR="002C2724" w:rsidRPr="002C2724" w:rsidRDefault="002C2724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2C2724" w:rsidRPr="002C2724" w:rsidRDefault="002C2724" w:rsidP="00770F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2C272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2C2724" w:rsidRPr="002C2724" w:rsidRDefault="002C2724" w:rsidP="002C2724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2C2724" w:rsidRPr="002C2724" w:rsidRDefault="002C2724" w:rsidP="002C272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котельных, из них 19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2C272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2C272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2C2724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2C2724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2C272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2C272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реализуемой  ПАО «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187,79 тыс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2C272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2C272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2C2724" w:rsidRPr="002C2724" w:rsidTr="00770FD8">
        <w:tc>
          <w:tcPr>
            <w:tcW w:w="1212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проблемы разовыми мероприятиями, финансируемыми за счет средств бюджетов всех уровней, не представлялось возможным.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2C2724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2C2724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Анализ потребления энергетических ресурсов 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2C2724" w:rsidRPr="002C2724" w:rsidRDefault="002C2724" w:rsidP="002C272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2C2724" w:rsidRPr="002C2724" w:rsidRDefault="002C2724" w:rsidP="002C272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2C2724" w:rsidRPr="002C2724" w:rsidRDefault="002C2724" w:rsidP="002C27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 повышение комфортного проживания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2C2724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2C2724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2C2724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2C2724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lastRenderedPageBreak/>
        <w:t>Вторым приоритетом</w:t>
      </w:r>
      <w:r w:rsidRPr="002C272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C2724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2C2724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2C272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C2724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C2724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2C2724" w:rsidRPr="002C2724" w:rsidRDefault="002C2724" w:rsidP="002C272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2C2724" w:rsidRPr="002C2724" w:rsidRDefault="002C2724" w:rsidP="002C272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2C2724" w:rsidRPr="002C2724" w:rsidRDefault="002C2724" w:rsidP="002C272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2C2724" w:rsidRPr="002C2724" w:rsidRDefault="002C2724" w:rsidP="002C272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энергоресурсосбережения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в коммунальном хозяйстве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обеспечения процесса планирования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проведения капитального ремонта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тепл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,водоснабжения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Мероприятие 8.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</w:t>
      </w:r>
      <w:proofErr w:type="gramEnd"/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онн в год.( исключено с 2021 года из муниципальной программы)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2C2724" w:rsidRPr="002C2724" w:rsidRDefault="002C2724" w:rsidP="002C27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мусора 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, установка ограждения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с 2021 года исключено в муниципальной программе)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(не реализуется с 2018 года).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2C2724" w:rsidRPr="002C2724" w:rsidRDefault="002C2724" w:rsidP="002C272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2C2724" w:rsidRPr="002C2724" w:rsidRDefault="002C2724" w:rsidP="002C272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2C2724" w:rsidRPr="002C2724" w:rsidRDefault="002C2724" w:rsidP="002C2724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улучшение показателей качества, надежности, безопасности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обеспеченных доступом в сеть Интернет, ранее не имевшим эту возможность.</w:t>
      </w:r>
    </w:p>
    <w:p w:rsidR="002C2724" w:rsidRPr="002C2724" w:rsidRDefault="002C2724" w:rsidP="002C2724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2C2724" w:rsidRPr="002C2724" w:rsidRDefault="002C2724" w:rsidP="002C2724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2021-2024 годы.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Срок реализации подпрограммы: 2021-2024 годы.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Срок реализации подпрограммы: 2021-2024 годы.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Срок реализации подпрограммы: 2021-2024 годы.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(приложение № 10 к настоящей программе). Срок реализации подпрограммы: 2021-2024 годы.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2C2724" w:rsidRPr="002C2724" w:rsidRDefault="002C2724" w:rsidP="002C2724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2C2724" w:rsidRPr="002C2724" w:rsidRDefault="002C2724" w:rsidP="002C272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2C2724" w:rsidRPr="002C2724" w:rsidRDefault="002C2724" w:rsidP="002C272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2C2724" w:rsidRPr="002C2724" w:rsidRDefault="002C2724" w:rsidP="002C272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2C2724" w:rsidRPr="002C2724" w:rsidRDefault="002C2724" w:rsidP="002C272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2C2724" w:rsidRPr="002C2724" w:rsidRDefault="002C2724" w:rsidP="002C27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2C2724" w:rsidRPr="002C2724" w:rsidRDefault="002C2724" w:rsidP="002C27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2724" w:rsidRPr="002C2724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№2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2C2724" w:rsidRPr="002C2724" w:rsidRDefault="002C2724" w:rsidP="00770FD8">
            <w:pPr>
              <w:spacing w:after="28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10.08.2022 №767-п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C2724" w:rsidRPr="002C2724" w:rsidRDefault="002C2724" w:rsidP="00770FD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930"/>
        <w:gridCol w:w="4887"/>
        <w:gridCol w:w="2320"/>
      </w:tblGrid>
      <w:tr w:rsidR="002C2724" w:rsidRPr="002C2724" w:rsidTr="00770FD8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07.03.2013г.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20.01.2017г.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14.11.2018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внесении изменений и дополнений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05.03.2020 № 223-п "О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17.07.2020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1123-п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от 12.02.2020 №127-п «О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05.11.2020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97-п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98-п 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391-п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25.05.2021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1009-п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22.11.2021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 № 1075-п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15.02.2021  №98-п "О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08.12.2021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692-п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юридическим лицам (за исключением государственных и муниципальных учреждений) и 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отчётности".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27.07.2022</w:t>
            </w:r>
          </w:p>
        </w:tc>
      </w:tr>
      <w:tr w:rsidR="002C2724" w:rsidRPr="002C2724" w:rsidTr="00770FD8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732-п</w:t>
            </w: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2022 год"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03.08.2022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2724" w:rsidRPr="002C2724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от10.08.2022 №767-п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"Реформирование и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модернизация жилищно-коммунального хозяйства и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повышение энергетической эффективности"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430 187 215,67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1 220 812 100,77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245 642 700,00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906 168 775,00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"Муниципальная служба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175 120 277,80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276 760 344,64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931 068 763,70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245 642 700,00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906 168 775,00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209 722 786,28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209 722 786,28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"Обращение с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отходами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2724" w:rsidRPr="002C2724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10.08.2022 №767-п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повышение энергетической эффективности"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C272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C2724" w:rsidRPr="002C2724" w:rsidTr="00770FD8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2C2724" w:rsidRPr="002C2724" w:rsidTr="00770FD8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430 187 215,67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1 220 812 100,77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389 255 467,00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1 056 349 967,00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40 931 748,67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120 368 133,77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931 068 763,70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246 317 667,00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911 091 367,00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5 721 240,00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19 977 396,70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домах, расположенных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269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1 598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493,87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163 020 277,80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209 722 786,28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142 937 800,00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142 937 800,00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20 082 477,80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66 784 986,28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C2724" w:rsidRPr="002C2724" w:rsidTr="00770FD8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>Приложение  № 5 к постановлению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2C272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10.08.2022 № 767-п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2C272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«Муниципальная пожарная часть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№1»</w:t>
            </w:r>
          </w:p>
        </w:tc>
      </w:tr>
      <w:tr w:rsidR="002C2724" w:rsidRPr="002C2724" w:rsidTr="00770FD8">
        <w:trPr>
          <w:trHeight w:val="556"/>
        </w:trPr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2C2724" w:rsidRPr="002C2724" w:rsidRDefault="002C2724" w:rsidP="002C272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2C2724" w:rsidRPr="002C2724" w:rsidTr="00770FD8">
        <w:trPr>
          <w:trHeight w:val="1932"/>
        </w:trPr>
        <w:tc>
          <w:tcPr>
            <w:tcW w:w="2304" w:type="pct"/>
            <w:shd w:val="clear" w:color="auto" w:fill="auto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931 068 763,70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179 784 176,70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252 038 907,00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249 622 840,00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249 622 840,00 рублей,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911 091 367,00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 174 970 500,00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246 317 667,00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244 901 600,00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244 901 600,00 рублей,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18 978 396,70 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4 813 676,70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5 721 240,00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4 721 240,00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4 721 240,00 рублей.</w:t>
            </w:r>
          </w:p>
        </w:tc>
      </w:tr>
      <w:tr w:rsidR="002C2724" w:rsidRPr="002C2724" w:rsidTr="00770FD8">
        <w:tc>
          <w:tcPr>
            <w:tcW w:w="2304" w:type="pct"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2C2724" w:rsidRPr="002C2724" w:rsidRDefault="002C2724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</w:tbl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 обоснование необходимости разработки подпрограммы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эксплуатируются централизованные системы теплоснабжения, которые представлены 41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теплоисточниками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Теплоисточники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водоподоготовки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  <w:proofErr w:type="gramEnd"/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характерируется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большими потерями электроэнергии 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расперелительных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2724" w:rsidRPr="002C2724" w:rsidRDefault="002C2724" w:rsidP="002C272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подпрограммы, показатели результативности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2C2724" w:rsidRPr="002C2724" w:rsidRDefault="002C2724" w:rsidP="002C272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2C2724" w:rsidRPr="002C2724" w:rsidRDefault="002C2724" w:rsidP="002C272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Предоставление субвенции на компенсацию выпадающих доходов </w:t>
      </w:r>
      <w:proofErr w:type="spellStart"/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для населения;</w:t>
      </w:r>
    </w:p>
    <w:p w:rsidR="002C2724" w:rsidRPr="002C2724" w:rsidRDefault="002C2724" w:rsidP="002C272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2C2724" w:rsidRPr="002C2724" w:rsidRDefault="002C2724" w:rsidP="002C272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2C2724" w:rsidRPr="002C2724" w:rsidRDefault="002C2724" w:rsidP="002C272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заказчик – координатор подпрограммы является администрация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к компетенции которого относятся: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 подпрограммы и главными распорядителями бюджетных средств являются администрация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муниципальное казенное учреждение «Муниципальная пожарная часть № 1», которые осуществляют: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мониторинг эффективности реализации мероприятий подпрограммы и расходования выделяемых бюджетных средств, подготовку отчетов о ходе реализации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подподпрограммы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подподрограммы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основными параметрами и приоритетами социально-экономического развития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07.03.2013 № 266-п «Об утверждении Порядка предоставления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17.04.2015 №431-п  «</w:t>
      </w:r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</w:t>
      </w:r>
      <w:proofErr w:type="gram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  Правительства Красноярского края от 02.11.2017 №658-п (приложение №3 к подпрограмме «Обеспечение доступности платы граждан в условиях развития жилищных отношений») «Порядок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 предоставления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критерии отбора муниципальных образований края для предоставления указанных субсидий».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08.02.2019 № 123-п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15.02.2019 №139-п «О предоставлении исполнителям коммунальных услуг субсидии на компенсацию части платы граждан за коммунальные услуги в 2019 году»;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19.11.2019 №1142-п «Об утверждении Порядка и условий предоставления субсидий теплоснабжающим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энергосбытовым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отчетности»;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12.02.2020 №127-п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2C2724" w:rsidRPr="002C2724" w:rsidRDefault="002C2724" w:rsidP="002C2724">
      <w:pPr>
        <w:spacing w:after="0" w:line="0" w:lineRule="atLeast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31.03.2020 №352-п «О внесении изменений и дополнений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17.07.2020 №733-п «О внесении изменений и дополнений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05.11.2020 №1123-п  о внесении изменений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12.02.2020 №127-п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15.02.2021 №98-п 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25.05.2021 №391-п «О внесении изменений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22.11.2021 №1009-п «О внесении изменений в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08.12.2021 №1075-п «О внесении изменений в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15.02.2021 №98-п 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района»».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09.02.2022 №87-п «О предоставлении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2C2724" w:rsidRPr="002C2724" w:rsidRDefault="002C2724" w:rsidP="002C2724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2C2724" w:rsidRPr="002C2724" w:rsidRDefault="002C2724" w:rsidP="002C27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2C2724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Ответственными за подготовку и представление отчетных данных является администрация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2C2724" w:rsidRPr="002C2724" w:rsidRDefault="002C2724" w:rsidP="002C272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C2724" w:rsidRPr="002C2724" w:rsidRDefault="002C2724" w:rsidP="002C27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2C2724" w:rsidRPr="002C2724" w:rsidRDefault="002C2724" w:rsidP="002C272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2C2724" w:rsidRPr="002C2724" w:rsidRDefault="002C2724" w:rsidP="002C2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2724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подлежат корректировке. Дополнительных материальных и трудовых затрат на реализацию подпрограммы не потребуется.</w:t>
      </w:r>
      <w:r w:rsidRPr="002C272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2724" w:rsidRPr="002C2724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10.08.2022 № 767-п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"Создание условий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безубыточной деятельности организаций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комплекса 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6"/>
        <w:gridCol w:w="1000"/>
        <w:gridCol w:w="477"/>
        <w:gridCol w:w="459"/>
        <w:gridCol w:w="777"/>
        <w:gridCol w:w="917"/>
        <w:gridCol w:w="917"/>
        <w:gridCol w:w="917"/>
        <w:gridCol w:w="917"/>
        <w:gridCol w:w="917"/>
        <w:gridCol w:w="1137"/>
      </w:tblGrid>
      <w:tr w:rsidR="002C2724" w:rsidRPr="002C2724" w:rsidTr="00770FD8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2724" w:rsidRPr="002C2724" w:rsidTr="00770FD8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17 936 600,00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69 238 100,00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155 645 875,00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834 759 775,00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1 388 025,00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5 677 425,00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Предоставление теплоснабжа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ющим организациям субсидий, между стоимостью топлива учтённой в тарифах на 2022 год и разницей топлива при заключении контрактов на 2022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1 170 900,00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1.4.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3 870 664,70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4 394 671,00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16 005 737,70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452 162,00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1 299 734,00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450 850,00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1 511 925,00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252 038 907,00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931 068 763,70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2C2724" w:rsidRPr="002C2724" w:rsidTr="00770FD8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246 317 667,00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909 920 467,00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>Приложение № 7</w:t>
      </w: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 xml:space="preserve">к постановлению </w:t>
      </w: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2C2724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18"/>
          <w:szCs w:val="20"/>
        </w:rPr>
        <w:t xml:space="preserve"> района </w:t>
      </w: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color w:val="FF0000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>от 10.08.2022 № 767-п</w:t>
      </w: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>Приложение № 8</w:t>
      </w:r>
    </w:p>
    <w:p w:rsidR="002C2724" w:rsidRPr="002C2724" w:rsidRDefault="002C2724" w:rsidP="002C2724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2C2724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2C2724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18"/>
          <w:szCs w:val="20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2C2724" w:rsidRPr="002C2724" w:rsidRDefault="002C2724" w:rsidP="002C2724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left="5103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Подпрограмма</w:t>
      </w: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pStyle w:val="affff8"/>
        <w:numPr>
          <w:ilvl w:val="0"/>
          <w:numId w:val="18"/>
        </w:num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Паспорт подпрограммы</w:t>
      </w:r>
    </w:p>
    <w:p w:rsidR="002C2724" w:rsidRPr="002C2724" w:rsidRDefault="002C2724" w:rsidP="002C2724">
      <w:pPr>
        <w:spacing w:after="0" w:line="0" w:lineRule="atLeast"/>
        <w:ind w:left="1065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район»  (далее – подпрограмма)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район.</w:t>
            </w:r>
          </w:p>
          <w:p w:rsidR="002C2724" w:rsidRPr="002C2724" w:rsidRDefault="002C2724" w:rsidP="00770FD8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следующей задачи:</w:t>
            </w:r>
          </w:p>
          <w:p w:rsidR="002C2724" w:rsidRPr="002C2724" w:rsidRDefault="002C2724" w:rsidP="00770FD8">
            <w:pPr>
              <w:spacing w:after="0" w:line="0" w:lineRule="atLeast"/>
              <w:ind w:firstLine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район.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2021 – 2024 годы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209 722 786,28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2021 году – 46 702 508,48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2022 году – 163 020 277,80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2023 году –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2024 году –                  0,00 рублей, в т</w:t>
            </w:r>
            <w:proofErr w:type="gramStart"/>
            <w:r w:rsidRPr="002C2724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2C2724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lastRenderedPageBreak/>
              <w:t>федеральный бюджет – 0,00 рублей, их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2020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2021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2022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краевой бюджет – 0,00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2021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2022 году – 142 937 800,00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2024 году –                   0,00 рублей.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Районный бюджет– 66 784 986,28 рублей, из них: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2021 году –   46 702 508,48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2022 году –   20 082 477,80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в 2023 году –                  0,00 рублей;</w:t>
            </w:r>
          </w:p>
          <w:p w:rsidR="002C2724" w:rsidRPr="002C2724" w:rsidRDefault="002C2724" w:rsidP="00770FD8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в 2024 году –                  0,00 рублей. </w:t>
            </w:r>
          </w:p>
        </w:tc>
      </w:tr>
      <w:tr w:rsidR="002C2724" w:rsidRPr="002C2724" w:rsidTr="00770FD8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2C2724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2C2724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2C2724" w:rsidRPr="002C2724" w:rsidRDefault="002C2724" w:rsidP="00770FD8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C2724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2C272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C2724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</w:tbl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</w:t>
      </w:r>
      <w:r w:rsidRPr="002C2724">
        <w:rPr>
          <w:rFonts w:ascii="Arial" w:hAnsi="Arial" w:cs="Arial"/>
          <w:sz w:val="20"/>
          <w:szCs w:val="20"/>
        </w:rPr>
        <w:tab/>
        <w:t>Основные разделы подпрограммы</w:t>
      </w: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ab/>
        <w:t xml:space="preserve">2.1. Постановка </w:t>
      </w:r>
      <w:proofErr w:type="spellStart"/>
      <w:r w:rsidRPr="002C2724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проблемы и  обоснование необходимости разработки подпрограммы.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Коммунальный комплекс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(далее - район) характеризуется: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значительным уровнем износа объектов коммунального назначения;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сверхнормативными потерями энергоресурсов на всех стадиях 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Услуги в сфере теплоснабжения жилищно-коммунального хозяйства предоставляют 40  котельных, из них 19 </w:t>
      </w:r>
      <w:proofErr w:type="spellStart"/>
      <w:r w:rsidRPr="002C2724">
        <w:rPr>
          <w:rFonts w:ascii="Arial" w:hAnsi="Arial" w:cs="Arial"/>
          <w:sz w:val="20"/>
          <w:szCs w:val="20"/>
        </w:rPr>
        <w:t>теплоисточников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 мощностью менее 3 Гкал/</w:t>
      </w:r>
      <w:proofErr w:type="gramStart"/>
      <w:r w:rsidRPr="002C2724">
        <w:rPr>
          <w:rFonts w:ascii="Arial" w:hAnsi="Arial" w:cs="Arial"/>
          <w:sz w:val="20"/>
          <w:szCs w:val="20"/>
        </w:rPr>
        <w:t>ч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 настоящее время из 149,039 км сетей теплоснабжения – 108,27 км требуют замены.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Основными источниками водоснабжения населения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являются напорные и безнапорные подземные источники.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Централизованным водоснабжением в районе обеспечено 51,38% населения, </w:t>
      </w:r>
      <w:proofErr w:type="gramStart"/>
      <w:r w:rsidRPr="002C2724">
        <w:rPr>
          <w:rFonts w:ascii="Arial" w:hAnsi="Arial" w:cs="Arial"/>
          <w:sz w:val="20"/>
          <w:szCs w:val="20"/>
        </w:rPr>
        <w:t>нецентрализованными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724">
        <w:rPr>
          <w:rFonts w:ascii="Arial" w:hAnsi="Arial" w:cs="Arial"/>
          <w:sz w:val="20"/>
          <w:szCs w:val="20"/>
        </w:rPr>
        <w:t>водоисточниками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пользуется 48,62% потребителей. Доля жителей, пользующихся привозной водой, составляет 11,0%. </w:t>
      </w:r>
    </w:p>
    <w:p w:rsidR="002C2724" w:rsidRPr="002C2724" w:rsidRDefault="002C2724" w:rsidP="002C2724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C2724">
        <w:rPr>
          <w:rFonts w:ascii="Arial" w:hAnsi="Arial" w:cs="Arial"/>
          <w:sz w:val="20"/>
          <w:szCs w:val="20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Несоответствие качества подземных </w:t>
      </w:r>
      <w:proofErr w:type="spellStart"/>
      <w:r w:rsidRPr="002C2724">
        <w:rPr>
          <w:rFonts w:ascii="Arial" w:hAnsi="Arial" w:cs="Arial"/>
          <w:sz w:val="20"/>
          <w:szCs w:val="20"/>
        </w:rPr>
        <w:t>водоисточников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требованиям </w:t>
      </w:r>
      <w:proofErr w:type="spellStart"/>
      <w:r w:rsidRPr="002C2724">
        <w:rPr>
          <w:rFonts w:ascii="Arial" w:hAnsi="Arial" w:cs="Arial"/>
          <w:sz w:val="20"/>
          <w:szCs w:val="20"/>
        </w:rPr>
        <w:t>СанПиН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2C2724">
        <w:rPr>
          <w:rFonts w:ascii="Arial" w:hAnsi="Arial" w:cs="Arial"/>
          <w:sz w:val="20"/>
          <w:szCs w:val="20"/>
        </w:rPr>
        <w:t>водоисточников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 настоящее время из 191,274 км сетей водоснабжения – 125,72 км требуют замены.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</w:t>
      </w:r>
      <w:r w:rsidRPr="002C2724">
        <w:rPr>
          <w:rFonts w:ascii="Arial" w:hAnsi="Arial" w:cs="Arial"/>
          <w:sz w:val="20"/>
          <w:szCs w:val="20"/>
        </w:rPr>
        <w:lastRenderedPageBreak/>
        <w:t>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2C2724" w:rsidRPr="002C2724" w:rsidRDefault="002C2724" w:rsidP="002C2724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2C2724">
        <w:rPr>
          <w:rFonts w:ascii="Arial" w:hAnsi="Arial" w:cs="Arial"/>
          <w:sz w:val="20"/>
          <w:szCs w:val="20"/>
        </w:rPr>
        <w:t>энергоисточниками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(дизельными электростанциями) суммарной мощностью 490 кВт, работающими на жидком топливе. </w:t>
      </w:r>
      <w:proofErr w:type="spellStart"/>
      <w:r w:rsidRPr="002C2724">
        <w:rPr>
          <w:rFonts w:ascii="Arial" w:hAnsi="Arial" w:cs="Arial"/>
          <w:sz w:val="20"/>
          <w:szCs w:val="20"/>
        </w:rPr>
        <w:t>Энергооборудование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недостаточным объемом бюджетного и частного финансирования;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ограниченностью собственных сре</w:t>
      </w:r>
      <w:proofErr w:type="gramStart"/>
      <w:r w:rsidRPr="002C2724">
        <w:rPr>
          <w:rFonts w:ascii="Arial" w:hAnsi="Arial" w:cs="Arial"/>
          <w:sz w:val="20"/>
          <w:szCs w:val="20"/>
        </w:rPr>
        <w:t>дств пр</w:t>
      </w:r>
      <w:proofErr w:type="gramEnd"/>
      <w:r w:rsidRPr="002C2724">
        <w:rPr>
          <w:rFonts w:ascii="Arial" w:hAnsi="Arial" w:cs="Arial"/>
          <w:sz w:val="20"/>
          <w:szCs w:val="20"/>
        </w:rPr>
        <w:t>едприятий на капитальный  ремонт, реконструкцию и обновление основных фондов;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C2724" w:rsidRPr="002C2724" w:rsidRDefault="002C2724" w:rsidP="002C2724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C2724" w:rsidRPr="002C2724" w:rsidRDefault="002C2724" w:rsidP="002C2724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2C2724">
        <w:rPr>
          <w:rFonts w:ascii="Arial" w:hAnsi="Arial" w:cs="Arial"/>
          <w:sz w:val="20"/>
          <w:szCs w:val="20"/>
        </w:rPr>
        <w:t>функционирования систем жизнеобеспечения населения муниципальных образований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2.2. Основная цель и задачи, этапы и сроки выполнения подпрограммы, показатели результативности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район.</w:t>
      </w:r>
    </w:p>
    <w:p w:rsidR="002C2724" w:rsidRPr="002C2724" w:rsidRDefault="002C2724" w:rsidP="002C2724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2C2724" w:rsidRPr="002C2724" w:rsidRDefault="002C2724" w:rsidP="002C2724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Срок реализации подпрограммы: 2021 -2024 годы.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В рамках задач, стоящих перед администрацией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сформирована подпрограмма. 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lastRenderedPageBreak/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консолидация сре</w:t>
      </w:r>
      <w:proofErr w:type="gramStart"/>
      <w:r w:rsidRPr="002C2724">
        <w:rPr>
          <w:rFonts w:ascii="Arial" w:hAnsi="Arial" w:cs="Arial"/>
          <w:sz w:val="20"/>
          <w:szCs w:val="20"/>
        </w:rPr>
        <w:t>дств дл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я реализации приоритетных направлений развития коммунального комплекса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района;</w:t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C2724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C2724">
        <w:rPr>
          <w:rFonts w:ascii="Arial" w:hAnsi="Arial" w:cs="Arial"/>
          <w:sz w:val="20"/>
          <w:szCs w:val="20"/>
        </w:rPr>
        <w:tab/>
      </w:r>
      <w:proofErr w:type="gramEnd"/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2C2724">
        <w:rPr>
          <w:rFonts w:ascii="Arial" w:hAnsi="Arial" w:cs="Arial"/>
          <w:sz w:val="20"/>
          <w:szCs w:val="20"/>
        </w:rPr>
        <w:tab/>
        <w:t xml:space="preserve"> 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2C2724">
        <w:rPr>
          <w:rFonts w:ascii="Arial" w:hAnsi="Arial" w:cs="Arial"/>
          <w:sz w:val="20"/>
          <w:szCs w:val="20"/>
        </w:rPr>
        <w:tab/>
        <w:t xml:space="preserve"> </w:t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2C2724">
        <w:rPr>
          <w:rFonts w:ascii="Arial" w:hAnsi="Arial" w:cs="Arial"/>
          <w:sz w:val="20"/>
          <w:szCs w:val="20"/>
        </w:rPr>
        <w:tab/>
      </w:r>
    </w:p>
    <w:p w:rsidR="002C2724" w:rsidRPr="002C2724" w:rsidRDefault="002C2724" w:rsidP="002C2724">
      <w:pPr>
        <w:pStyle w:val="ae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2C2724" w:rsidRPr="002C2724" w:rsidRDefault="002C2724" w:rsidP="002C2724">
      <w:pPr>
        <w:pStyle w:val="ae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Достижимость и </w:t>
      </w:r>
      <w:proofErr w:type="spellStart"/>
      <w:r w:rsidRPr="002C2724">
        <w:rPr>
          <w:rFonts w:ascii="Arial" w:hAnsi="Arial" w:cs="Arial"/>
          <w:sz w:val="20"/>
          <w:szCs w:val="20"/>
        </w:rPr>
        <w:t>измеряемость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2C2724" w:rsidRPr="002C2724" w:rsidRDefault="002C2724" w:rsidP="002C2724">
      <w:pPr>
        <w:pStyle w:val="ae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2C2724">
        <w:rPr>
          <w:rFonts w:ascii="Arial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и достижения показателей результативности.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района,   которые осуществляют расходование бюджетных сре</w:t>
      </w:r>
      <w:proofErr w:type="gramStart"/>
      <w:r w:rsidRPr="002C2724">
        <w:rPr>
          <w:rFonts w:ascii="Arial" w:hAnsi="Arial" w:cs="Arial"/>
          <w:sz w:val="20"/>
          <w:szCs w:val="20"/>
        </w:rPr>
        <w:t>дств в п</w:t>
      </w:r>
      <w:proofErr w:type="gramEnd"/>
      <w:r w:rsidRPr="002C2724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724" w:rsidRPr="002C2724" w:rsidRDefault="002C2724" w:rsidP="002C2724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2C2724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2C2724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C2724" w:rsidRPr="002C2724" w:rsidRDefault="002C2724" w:rsidP="002C2724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Федеральный закон от 27.07.2010 № 190-ФЗ «О теплоснабжении»;</w:t>
      </w:r>
    </w:p>
    <w:p w:rsidR="002C2724" w:rsidRPr="002C2724" w:rsidRDefault="002C2724" w:rsidP="002C2724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Федеральный закон от 07.12.2011 № 416-ФЗ «О водоснабжении и водоотведении».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2C2724">
        <w:rPr>
          <w:rFonts w:ascii="Arial" w:hAnsi="Arial" w:cs="Arial"/>
          <w:sz w:val="20"/>
          <w:szCs w:val="20"/>
        </w:rPr>
        <w:t>контроль за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2C2724">
        <w:rPr>
          <w:rFonts w:ascii="Arial" w:hAnsi="Arial" w:cs="Arial"/>
          <w:sz w:val="20"/>
          <w:szCs w:val="20"/>
        </w:rPr>
        <w:t>контроль за</w:t>
      </w:r>
      <w:proofErr w:type="gramEnd"/>
      <w:r w:rsidRPr="002C2724">
        <w:rPr>
          <w:rFonts w:ascii="Arial" w:hAnsi="Arial" w:cs="Arial"/>
          <w:sz w:val="20"/>
          <w:szCs w:val="20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</w:t>
      </w:r>
      <w:r w:rsidRPr="002C2724">
        <w:rPr>
          <w:rFonts w:ascii="Arial" w:hAnsi="Arial" w:cs="Arial"/>
          <w:sz w:val="20"/>
          <w:szCs w:val="20"/>
        </w:rPr>
        <w:lastRenderedPageBreak/>
        <w:t xml:space="preserve">района, их формировании и реализации, утвержденного постановлением администрации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от 17.07.2013 № 849-п. </w:t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</w:r>
      <w:r w:rsidRPr="002C2724">
        <w:rPr>
          <w:rFonts w:ascii="Arial" w:hAnsi="Arial" w:cs="Arial"/>
          <w:sz w:val="20"/>
          <w:szCs w:val="20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от 17.07.2013 № 849-п.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2C2724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2C2724">
        <w:rPr>
          <w:rFonts w:ascii="Arial" w:hAnsi="Arial" w:cs="Arial"/>
          <w:sz w:val="20"/>
          <w:szCs w:val="20"/>
        </w:rPr>
        <w:t xml:space="preserve"> района.</w:t>
      </w:r>
    </w:p>
    <w:p w:rsidR="002C2724" w:rsidRPr="002C2724" w:rsidRDefault="002C2724" w:rsidP="002C2724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2C2724" w:rsidRPr="002C2724" w:rsidRDefault="002C2724" w:rsidP="002C2724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2.6. Мероприятия подпрограммы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2C2724" w:rsidRPr="002C2724" w:rsidRDefault="002C2724" w:rsidP="002C2724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C2724" w:rsidRPr="002C2724" w:rsidRDefault="002C2724" w:rsidP="002C2724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2C2724" w:rsidRPr="002C2724" w:rsidRDefault="002C2724" w:rsidP="002C2724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2C2724">
        <w:rPr>
          <w:rFonts w:ascii="Arial" w:hAnsi="Arial" w:cs="Arial"/>
        </w:rPr>
        <w:t>Общий объем финансирования подпрограммы представлен в приложении № 2 к настоящей подпрограмме.</w:t>
      </w:r>
    </w:p>
    <w:p w:rsidR="002C2724" w:rsidRPr="002C2724" w:rsidRDefault="002C2724" w:rsidP="002C2724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2C2724" w:rsidRPr="002C2724" w:rsidRDefault="002C2724" w:rsidP="002C2724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2C2724">
        <w:rPr>
          <w:rFonts w:ascii="Arial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2724" w:rsidRPr="002C2724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10.08.2022 № 767-п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 </w:t>
            </w:r>
            <w:proofErr w:type="gramStart"/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коммунальной</w:t>
            </w:r>
            <w:proofErr w:type="gramEnd"/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инфраструктуры </w:t>
            </w:r>
            <w:proofErr w:type="gramStart"/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proofErr w:type="spellStart"/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2C2724" w:rsidRPr="002C2724" w:rsidRDefault="002C2724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"/>
        <w:gridCol w:w="979"/>
        <w:gridCol w:w="464"/>
        <w:gridCol w:w="446"/>
        <w:gridCol w:w="767"/>
        <w:gridCol w:w="986"/>
        <w:gridCol w:w="1146"/>
        <w:gridCol w:w="674"/>
        <w:gridCol w:w="674"/>
        <w:gridCol w:w="1146"/>
        <w:gridCol w:w="1332"/>
      </w:tblGrid>
      <w:tr w:rsidR="002C2724" w:rsidRPr="002C2724" w:rsidTr="00770FD8">
        <w:trPr>
          <w:trHeight w:val="161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2724" w:rsidRPr="002C2724" w:rsidTr="00770FD8">
        <w:trPr>
          <w:trHeight w:val="16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C2724" w:rsidRPr="002C2724" w:rsidTr="00770F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161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  Капитальный ремонт сетей тепло-, водоснабжения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40 630 828,48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12 190 341,40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52 821 169,88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(1003 м.п.);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Капитальный ремонт участка сети тепло- водоснабжения от теплового колодца  24ТК5 до ж/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№29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есная,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 (0,454км.);                                                                                                                                                3. Капитальный ремонт участка сети тепло- водоснабжения от теплового колодца  24ТК47 до ж/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№41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ушкина,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(0,270км.);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Разработка проектной документации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5. Выполнение работ по инженерным изысканиям для объекта "Канализационные сети п.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                    6. Выполнение работ по разработке проектной документации для объекта "Канализационные сети п.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7.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"Канализационные сети п.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                                         8. Капитальный ремонт сетей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тепло-водоснабжения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Киселёва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(879 п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м/б);                                                                                                                                                                                                 9.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исполнит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листу КИЦ от 26.01.2021 № ФС 035695964, сумма добавлена            14 282 928,41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724" w:rsidRPr="002C2724" w:rsidTr="00770FD8">
        <w:trPr>
          <w:trHeight w:val="161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161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агистральная до 12ВК 11б 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(99мп);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ирпичная в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(548мп);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Выполнение работ по капитальному ремонту участка сетей водоснабжения от 12 ВК 6 до 12 ВК 11 по ул. Суворова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(604мп);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Работы по капитальному ремонту  участка сетей водоснабжения от 7 ТК 4 до 7 ТК 10 по ул. Киселёва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(611мп);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5.Выполнение работ по разработке проектной документации по объекту "Строительство сетей теплоснабжения для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Присоединение к сетям водоотведения объекта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:"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врачебной амбулатории в п. Октябрьский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(КГБУЗ"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РБ") к сетям водоотведения ОАО "РЖД";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7.Присоединени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 к сетям водоснабжения объекта "Пристройка к зданию МОУ "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СОШ"";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8.Капитальный ремонт сетей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Хребтовый;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9. Капитальный ремонт сетей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 котельной №12 ул. Космонавтов,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(176 п.м.);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 Выполнение инженерно-геодезических работ и инженерно-геологических изысканий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11. Выполнение инженерно-экологических и инженерно-гидрометеорологических изысканий по объекту "Строительство сетей теплоснабжения для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12. 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Экпертиза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проектной документации по объекту "Строительство сетей теплоснабжения для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".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200 000,00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Государственная экспертиза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Капитальный ремонт объектов теплоснабжения и сооружений </w:t>
            </w:r>
            <w:proofErr w:type="spellStart"/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</w:t>
            </w: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</w:t>
            </w:r>
            <w:proofErr w:type="spellEnd"/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6 150 000,00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12 221 680,00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1. 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мощностью 60кВт (МКДОУ детский сад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", МКОУ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ООШ (вечерняя школа).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</w:t>
            </w:r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2022 году</w:t>
            </w:r>
            <w:proofErr w:type="gramStart"/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ВБР 25-9 в п. Ангарский;                                       2. Приобретение и монтаж башни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ВБР 25-9 в п.</w:t>
            </w:r>
            <w:r w:rsidRPr="002C272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144 479 936,40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144 479 936,40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тепло-водомнабжения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12ТК10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Капитальный ремонт сетей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№12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Капитальный ремонт участка сетей теплоснабжения от 12ТК20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Капитальный ремонт участка сетей теплоснабжения по ул. Киселёва от 7ТК10, с.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 Капитальный ремонт сетей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Строителей п. Таёжный;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Капитальный ремонт сетей </w:t>
            </w:r>
            <w:proofErr w:type="spell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 п. Таёжный;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 Капитальный ремонт сетей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Суворова п. Таёжный;</w:t>
            </w:r>
          </w:p>
        </w:tc>
      </w:tr>
      <w:tr w:rsidR="002C2724" w:rsidRPr="002C2724" w:rsidTr="00770FD8">
        <w:trPr>
          <w:trHeight w:val="20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 Капитальный ремонт сетей </w:t>
            </w:r>
            <w:proofErr w:type="spellStart"/>
            <w:proofErr w:type="gramStart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Таёжный.</w:t>
            </w:r>
          </w:p>
        </w:tc>
      </w:tr>
      <w:tr w:rsidR="002C2724" w:rsidRPr="002C2724" w:rsidTr="00770FD8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163 020 277,80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209 722 786,28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142 937 800,00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142 937 800,00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2724" w:rsidRPr="002C2724" w:rsidTr="00770FD8">
        <w:trPr>
          <w:trHeight w:val="20"/>
        </w:trPr>
        <w:tc>
          <w:tcPr>
            <w:tcW w:w="2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20 082 477,80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66 784 986,28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24" w:rsidRPr="002C2724" w:rsidRDefault="002C2724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272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C2724" w:rsidRPr="002C2724" w:rsidRDefault="002C2724" w:rsidP="002C27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>
      <w:pPr>
        <w:rPr>
          <w:lang w:val="en-US"/>
        </w:rPr>
      </w:pPr>
    </w:p>
    <w:p w:rsidR="002C2724" w:rsidRPr="002C2724" w:rsidRDefault="002C2724">
      <w:pPr>
        <w:rPr>
          <w:lang w:val="en-US"/>
        </w:rPr>
      </w:pPr>
    </w:p>
    <w:sectPr w:rsidR="002C2724" w:rsidRPr="002C272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5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7"/>
  </w:num>
  <w:num w:numId="17">
    <w:abstractNumId w:val="16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724"/>
    <w:rsid w:val="00065615"/>
    <w:rsid w:val="002C272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C272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2C27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C2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2C2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2C272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2C272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C272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C272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C272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C272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2C27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C2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2C2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2C272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C27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C272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C272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C272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C272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C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C272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2C27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C27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C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C272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C2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2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2C2724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2C272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2C272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2C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2C2724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2C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2C27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2C272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2C2724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2C272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C272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C27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C2724"/>
  </w:style>
  <w:style w:type="paragraph" w:customStyle="1" w:styleId="ConsNonformat">
    <w:name w:val="ConsNonformat"/>
    <w:rsid w:val="002C2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C27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2C2724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2C27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2C2724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rsid w:val="002C2724"/>
    <w:rPr>
      <w:color w:val="0000FF"/>
      <w:u w:val="single"/>
    </w:rPr>
  </w:style>
  <w:style w:type="character" w:customStyle="1" w:styleId="FontStyle12">
    <w:name w:val="Font Style12"/>
    <w:basedOn w:val="a4"/>
    <w:rsid w:val="002C272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2C272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2C27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2C2724"/>
  </w:style>
  <w:style w:type="paragraph" w:customStyle="1" w:styleId="17">
    <w:name w:val="Стиль1"/>
    <w:basedOn w:val="ConsPlusNormal"/>
    <w:rsid w:val="002C272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2C2724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2C2724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C272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C272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2C272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C272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C272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C272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C272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C272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C272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C272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C272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2C27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2C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2C27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2C2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2C27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C272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2C272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C27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C27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C27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C272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C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C27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C272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C272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C27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C27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C27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C27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C272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C27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2C27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2C272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C272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C272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C272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C272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C27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C27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C27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C27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C272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C27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C272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C27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C27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C27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C27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C272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C27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C272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C272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C272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C272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C272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C272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C272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C272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C272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C27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C272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C272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C272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C272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C272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C272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C272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C272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C272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2C27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2C2724"/>
    <w:rPr>
      <w:color w:val="800080"/>
      <w:u w:val="single"/>
    </w:rPr>
  </w:style>
  <w:style w:type="paragraph" w:customStyle="1" w:styleId="fd">
    <w:name w:val="Обычfd"/>
    <w:rsid w:val="002C27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2C2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2C27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2C272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C272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2C272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2C27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2C272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C272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C2724"/>
    <w:pPr>
      <w:ind w:right="-596" w:firstLine="709"/>
      <w:jc w:val="both"/>
    </w:pPr>
  </w:style>
  <w:style w:type="paragraph" w:customStyle="1" w:styleId="1f0">
    <w:name w:val="Список1"/>
    <w:basedOn w:val="2b"/>
    <w:rsid w:val="002C272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C272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C272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C272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C272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C272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2C272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2C27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2C2724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2C272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C272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2C2724"/>
    <w:pPr>
      <w:ind w:left="85"/>
    </w:pPr>
  </w:style>
  <w:style w:type="paragraph" w:customStyle="1" w:styleId="afff3">
    <w:name w:val="Единицы"/>
    <w:basedOn w:val="a3"/>
    <w:rsid w:val="002C272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2C2724"/>
    <w:pPr>
      <w:ind w:left="170"/>
    </w:pPr>
  </w:style>
  <w:style w:type="paragraph" w:customStyle="1" w:styleId="afff4">
    <w:name w:val="текст сноски"/>
    <w:basedOn w:val="a3"/>
    <w:rsid w:val="002C272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2C272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2C272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C27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C272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2C272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2C272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2C272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2C272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2C2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2C272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2C27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2C272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C272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C272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2C272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2C2724"/>
    <w:rPr>
      <w:vertAlign w:val="superscript"/>
    </w:rPr>
  </w:style>
  <w:style w:type="paragraph" w:customStyle="1" w:styleId="ConsTitle">
    <w:name w:val="ConsTitle"/>
    <w:rsid w:val="002C27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C2724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2C272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2C272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C272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2C272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2C272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C2724"/>
  </w:style>
  <w:style w:type="character" w:customStyle="1" w:styleId="affff2">
    <w:name w:val="знак сноски"/>
    <w:basedOn w:val="a4"/>
    <w:rsid w:val="002C2724"/>
    <w:rPr>
      <w:vertAlign w:val="superscript"/>
    </w:rPr>
  </w:style>
  <w:style w:type="character" w:customStyle="1" w:styleId="affff3">
    <w:name w:val="Îñíîâíîé øðèôò"/>
    <w:rsid w:val="002C2724"/>
  </w:style>
  <w:style w:type="character" w:customStyle="1" w:styleId="2f">
    <w:name w:val="Осно&quot;2"/>
    <w:rsid w:val="002C2724"/>
  </w:style>
  <w:style w:type="paragraph" w:customStyle="1" w:styleId="a1">
    <w:name w:val="маркированный"/>
    <w:basedOn w:val="a3"/>
    <w:rsid w:val="002C272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C272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2C272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2C272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2C2724"/>
    <w:pPr>
      <w:ind w:left="57"/>
      <w:jc w:val="left"/>
    </w:pPr>
  </w:style>
  <w:style w:type="paragraph" w:customStyle="1" w:styleId="FR1">
    <w:name w:val="FR1"/>
    <w:rsid w:val="002C272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C27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C272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C272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C272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C272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2C2724"/>
    <w:pPr>
      <w:ind w:left="720"/>
      <w:contextualSpacing/>
    </w:pPr>
  </w:style>
  <w:style w:type="paragraph" w:customStyle="1" w:styleId="38">
    <w:name w:val="Обычный3"/>
    <w:basedOn w:val="a3"/>
    <w:rsid w:val="002C272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C272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C272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2C272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2C2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C272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2C272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2C2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2C2724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2C2724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2C272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C272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C27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C27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C272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C272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C27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C272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C27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C27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C272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C272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C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C272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C2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C272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C27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C27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C27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C272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C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C2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C272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C272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C272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C272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C272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C272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C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C2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C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C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C2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C27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C272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C2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2C2724"/>
    <w:rPr>
      <w:b/>
      <w:color w:val="000080"/>
    </w:rPr>
  </w:style>
  <w:style w:type="character" w:customStyle="1" w:styleId="afffff2">
    <w:name w:val="Гипертекстовая ссылка"/>
    <w:basedOn w:val="afffff1"/>
    <w:rsid w:val="002C2724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2C27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2C27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2C272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2C27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C272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C2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C272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C272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C272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C27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C272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C27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C27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C27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C2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C2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C27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C272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C27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C27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C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C27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C27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C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C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C272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C272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C272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C272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C27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C27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C27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C2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C27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C2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C27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C2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C27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C27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C27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C272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C272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C27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C27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C272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C27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C2724"/>
  </w:style>
  <w:style w:type="paragraph" w:customStyle="1" w:styleId="1">
    <w:name w:val="марк список 1"/>
    <w:basedOn w:val="a3"/>
    <w:rsid w:val="002C272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C2724"/>
    <w:pPr>
      <w:numPr>
        <w:numId w:val="7"/>
      </w:numPr>
    </w:pPr>
  </w:style>
  <w:style w:type="paragraph" w:customStyle="1" w:styleId="xl280">
    <w:name w:val="xl280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C27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C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C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C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C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C27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C27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C2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C2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C2724"/>
  </w:style>
  <w:style w:type="paragraph" w:customStyle="1" w:styleId="font0">
    <w:name w:val="font0"/>
    <w:basedOn w:val="a3"/>
    <w:rsid w:val="002C2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2C2724"/>
    <w:rPr>
      <w:b/>
      <w:bCs/>
    </w:rPr>
  </w:style>
  <w:style w:type="paragraph" w:customStyle="1" w:styleId="2f3">
    <w:name w:val="Обычный (веб)2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C27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C2724"/>
  </w:style>
  <w:style w:type="character" w:customStyle="1" w:styleId="WW-Absatz-Standardschriftart">
    <w:name w:val="WW-Absatz-Standardschriftart"/>
    <w:rsid w:val="002C2724"/>
  </w:style>
  <w:style w:type="character" w:customStyle="1" w:styleId="WW-Absatz-Standardschriftart1">
    <w:name w:val="WW-Absatz-Standardschriftart1"/>
    <w:rsid w:val="002C2724"/>
  </w:style>
  <w:style w:type="character" w:customStyle="1" w:styleId="WW-Absatz-Standardschriftart11">
    <w:name w:val="WW-Absatz-Standardschriftart11"/>
    <w:rsid w:val="002C2724"/>
  </w:style>
  <w:style w:type="character" w:customStyle="1" w:styleId="WW-Absatz-Standardschriftart111">
    <w:name w:val="WW-Absatz-Standardschriftart111"/>
    <w:rsid w:val="002C2724"/>
  </w:style>
  <w:style w:type="character" w:customStyle="1" w:styleId="WW-Absatz-Standardschriftart1111">
    <w:name w:val="WW-Absatz-Standardschriftart1111"/>
    <w:rsid w:val="002C2724"/>
  </w:style>
  <w:style w:type="character" w:customStyle="1" w:styleId="WW-Absatz-Standardschriftart11111">
    <w:name w:val="WW-Absatz-Standardschriftart11111"/>
    <w:rsid w:val="002C2724"/>
  </w:style>
  <w:style w:type="character" w:customStyle="1" w:styleId="WW-Absatz-Standardschriftart111111">
    <w:name w:val="WW-Absatz-Standardschriftart111111"/>
    <w:rsid w:val="002C2724"/>
  </w:style>
  <w:style w:type="character" w:customStyle="1" w:styleId="WW-Absatz-Standardschriftart1111111">
    <w:name w:val="WW-Absatz-Standardschriftart1111111"/>
    <w:rsid w:val="002C2724"/>
  </w:style>
  <w:style w:type="character" w:customStyle="1" w:styleId="WW-Absatz-Standardschriftart11111111">
    <w:name w:val="WW-Absatz-Standardschriftart11111111"/>
    <w:rsid w:val="002C2724"/>
  </w:style>
  <w:style w:type="character" w:customStyle="1" w:styleId="WW-Absatz-Standardschriftart111111111">
    <w:name w:val="WW-Absatz-Standardschriftart111111111"/>
    <w:rsid w:val="002C2724"/>
  </w:style>
  <w:style w:type="character" w:customStyle="1" w:styleId="WW-Absatz-Standardschriftart1111111111">
    <w:name w:val="WW-Absatz-Standardschriftart1111111111"/>
    <w:rsid w:val="002C2724"/>
  </w:style>
  <w:style w:type="character" w:customStyle="1" w:styleId="WW-Absatz-Standardschriftart11111111111">
    <w:name w:val="WW-Absatz-Standardschriftart11111111111"/>
    <w:rsid w:val="002C2724"/>
  </w:style>
  <w:style w:type="character" w:customStyle="1" w:styleId="WW-Absatz-Standardschriftart111111111111">
    <w:name w:val="WW-Absatz-Standardschriftart111111111111"/>
    <w:rsid w:val="002C2724"/>
  </w:style>
  <w:style w:type="character" w:customStyle="1" w:styleId="WW-Absatz-Standardschriftart1111111111111">
    <w:name w:val="WW-Absatz-Standardschriftart1111111111111"/>
    <w:rsid w:val="002C2724"/>
  </w:style>
  <w:style w:type="character" w:customStyle="1" w:styleId="WW-Absatz-Standardschriftart11111111111111">
    <w:name w:val="WW-Absatz-Standardschriftart11111111111111"/>
    <w:rsid w:val="002C2724"/>
  </w:style>
  <w:style w:type="character" w:customStyle="1" w:styleId="WW-Absatz-Standardschriftart111111111111111">
    <w:name w:val="WW-Absatz-Standardschriftart111111111111111"/>
    <w:rsid w:val="002C2724"/>
  </w:style>
  <w:style w:type="character" w:customStyle="1" w:styleId="WW-Absatz-Standardschriftart1111111111111111">
    <w:name w:val="WW-Absatz-Standardschriftart1111111111111111"/>
    <w:rsid w:val="002C2724"/>
  </w:style>
  <w:style w:type="character" w:customStyle="1" w:styleId="WW-Absatz-Standardschriftart11111111111111111">
    <w:name w:val="WW-Absatz-Standardschriftart11111111111111111"/>
    <w:rsid w:val="002C2724"/>
  </w:style>
  <w:style w:type="character" w:customStyle="1" w:styleId="WW-Absatz-Standardschriftart111111111111111111">
    <w:name w:val="WW-Absatz-Standardschriftart111111111111111111"/>
    <w:rsid w:val="002C2724"/>
  </w:style>
  <w:style w:type="character" w:customStyle="1" w:styleId="WW-Absatz-Standardschriftart1111111111111111111">
    <w:name w:val="WW-Absatz-Standardschriftart1111111111111111111"/>
    <w:rsid w:val="002C2724"/>
  </w:style>
  <w:style w:type="character" w:customStyle="1" w:styleId="WW-Absatz-Standardschriftart11111111111111111111">
    <w:name w:val="WW-Absatz-Standardschriftart11111111111111111111"/>
    <w:rsid w:val="002C2724"/>
  </w:style>
  <w:style w:type="character" w:customStyle="1" w:styleId="WW-Absatz-Standardschriftart111111111111111111111">
    <w:name w:val="WW-Absatz-Standardschriftart111111111111111111111"/>
    <w:rsid w:val="002C2724"/>
  </w:style>
  <w:style w:type="character" w:customStyle="1" w:styleId="WW-Absatz-Standardschriftart1111111111111111111111">
    <w:name w:val="WW-Absatz-Standardschriftart1111111111111111111111"/>
    <w:rsid w:val="002C2724"/>
  </w:style>
  <w:style w:type="character" w:customStyle="1" w:styleId="WW-Absatz-Standardschriftart11111111111111111111111">
    <w:name w:val="WW-Absatz-Standardschriftart11111111111111111111111"/>
    <w:rsid w:val="002C2724"/>
  </w:style>
  <w:style w:type="character" w:customStyle="1" w:styleId="WW-Absatz-Standardschriftart111111111111111111111111">
    <w:name w:val="WW-Absatz-Standardschriftart111111111111111111111111"/>
    <w:rsid w:val="002C2724"/>
  </w:style>
  <w:style w:type="character" w:customStyle="1" w:styleId="WW-Absatz-Standardschriftart1111111111111111111111111">
    <w:name w:val="WW-Absatz-Standardschriftart1111111111111111111111111"/>
    <w:rsid w:val="002C2724"/>
  </w:style>
  <w:style w:type="character" w:customStyle="1" w:styleId="WW-Absatz-Standardschriftart11111111111111111111111111">
    <w:name w:val="WW-Absatz-Standardschriftart11111111111111111111111111"/>
    <w:rsid w:val="002C2724"/>
  </w:style>
  <w:style w:type="character" w:customStyle="1" w:styleId="WW-Absatz-Standardschriftart111111111111111111111111111">
    <w:name w:val="WW-Absatz-Standardschriftart111111111111111111111111111"/>
    <w:rsid w:val="002C2724"/>
  </w:style>
  <w:style w:type="character" w:customStyle="1" w:styleId="WW-Absatz-Standardschriftart1111111111111111111111111111">
    <w:name w:val="WW-Absatz-Standardschriftart1111111111111111111111111111"/>
    <w:rsid w:val="002C2724"/>
  </w:style>
  <w:style w:type="character" w:customStyle="1" w:styleId="WW-Absatz-Standardschriftart11111111111111111111111111111">
    <w:name w:val="WW-Absatz-Standardschriftart11111111111111111111111111111"/>
    <w:rsid w:val="002C2724"/>
  </w:style>
  <w:style w:type="character" w:customStyle="1" w:styleId="WW-Absatz-Standardschriftart111111111111111111111111111111">
    <w:name w:val="WW-Absatz-Standardschriftart111111111111111111111111111111"/>
    <w:rsid w:val="002C2724"/>
  </w:style>
  <w:style w:type="character" w:customStyle="1" w:styleId="WW-Absatz-Standardschriftart1111111111111111111111111111111">
    <w:name w:val="WW-Absatz-Standardschriftart1111111111111111111111111111111"/>
    <w:rsid w:val="002C2724"/>
  </w:style>
  <w:style w:type="character" w:customStyle="1" w:styleId="WW-Absatz-Standardschriftart11111111111111111111111111111111">
    <w:name w:val="WW-Absatz-Standardschriftart11111111111111111111111111111111"/>
    <w:rsid w:val="002C2724"/>
  </w:style>
  <w:style w:type="character" w:customStyle="1" w:styleId="WW-Absatz-Standardschriftart111111111111111111111111111111111">
    <w:name w:val="WW-Absatz-Standardschriftart111111111111111111111111111111111"/>
    <w:rsid w:val="002C2724"/>
  </w:style>
  <w:style w:type="character" w:customStyle="1" w:styleId="WW-Absatz-Standardschriftart1111111111111111111111111111111111">
    <w:name w:val="WW-Absatz-Standardschriftart1111111111111111111111111111111111"/>
    <w:rsid w:val="002C2724"/>
  </w:style>
  <w:style w:type="character" w:customStyle="1" w:styleId="WW-Absatz-Standardschriftart11111111111111111111111111111111111">
    <w:name w:val="WW-Absatz-Standardschriftart11111111111111111111111111111111111"/>
    <w:rsid w:val="002C2724"/>
  </w:style>
  <w:style w:type="character" w:customStyle="1" w:styleId="WW-Absatz-Standardschriftart111111111111111111111111111111111111">
    <w:name w:val="WW-Absatz-Standardschriftart111111111111111111111111111111111111"/>
    <w:rsid w:val="002C2724"/>
  </w:style>
  <w:style w:type="character" w:customStyle="1" w:styleId="WW-Absatz-Standardschriftart1111111111111111111111111111111111111">
    <w:name w:val="WW-Absatz-Standardschriftart1111111111111111111111111111111111111"/>
    <w:rsid w:val="002C2724"/>
  </w:style>
  <w:style w:type="character" w:customStyle="1" w:styleId="WW-Absatz-Standardschriftart11111111111111111111111111111111111111">
    <w:name w:val="WW-Absatz-Standardschriftart11111111111111111111111111111111111111"/>
    <w:rsid w:val="002C2724"/>
  </w:style>
  <w:style w:type="character" w:customStyle="1" w:styleId="WW-Absatz-Standardschriftart111111111111111111111111111111111111111">
    <w:name w:val="WW-Absatz-Standardschriftart111111111111111111111111111111111111111"/>
    <w:rsid w:val="002C2724"/>
  </w:style>
  <w:style w:type="character" w:customStyle="1" w:styleId="2f4">
    <w:name w:val="Основной шрифт абзаца2"/>
    <w:rsid w:val="002C2724"/>
  </w:style>
  <w:style w:type="character" w:customStyle="1" w:styleId="WW-Absatz-Standardschriftart1111111111111111111111111111111111111111">
    <w:name w:val="WW-Absatz-Standardschriftart1111111111111111111111111111111111111111"/>
    <w:rsid w:val="002C2724"/>
  </w:style>
  <w:style w:type="character" w:customStyle="1" w:styleId="WW-Absatz-Standardschriftart11111111111111111111111111111111111111111">
    <w:name w:val="WW-Absatz-Standardschriftart11111111111111111111111111111111111111111"/>
    <w:rsid w:val="002C2724"/>
  </w:style>
  <w:style w:type="character" w:customStyle="1" w:styleId="WW-Absatz-Standardschriftart111111111111111111111111111111111111111111">
    <w:name w:val="WW-Absatz-Standardschriftart111111111111111111111111111111111111111111"/>
    <w:rsid w:val="002C2724"/>
  </w:style>
  <w:style w:type="character" w:customStyle="1" w:styleId="WW-Absatz-Standardschriftart1111111111111111111111111111111111111111111">
    <w:name w:val="WW-Absatz-Standardschriftart1111111111111111111111111111111111111111111"/>
    <w:rsid w:val="002C2724"/>
  </w:style>
  <w:style w:type="character" w:customStyle="1" w:styleId="1fa">
    <w:name w:val="Основной шрифт абзаца1"/>
    <w:rsid w:val="002C2724"/>
  </w:style>
  <w:style w:type="character" w:customStyle="1" w:styleId="WW-Absatz-Standardschriftart11111111111111111111111111111111111111111111">
    <w:name w:val="WW-Absatz-Standardschriftart11111111111111111111111111111111111111111111"/>
    <w:rsid w:val="002C2724"/>
  </w:style>
  <w:style w:type="character" w:customStyle="1" w:styleId="WW-Absatz-Standardschriftart111111111111111111111111111111111111111111111">
    <w:name w:val="WW-Absatz-Standardschriftart111111111111111111111111111111111111111111111"/>
    <w:rsid w:val="002C2724"/>
  </w:style>
  <w:style w:type="character" w:customStyle="1" w:styleId="WW-Absatz-Standardschriftart1111111111111111111111111111111111111111111111">
    <w:name w:val="WW-Absatz-Standardschriftart1111111111111111111111111111111111111111111111"/>
    <w:rsid w:val="002C2724"/>
  </w:style>
  <w:style w:type="character" w:customStyle="1" w:styleId="WW-Absatz-Standardschriftart11111111111111111111111111111111111111111111111">
    <w:name w:val="WW-Absatz-Standardschriftart11111111111111111111111111111111111111111111111"/>
    <w:rsid w:val="002C2724"/>
  </w:style>
  <w:style w:type="character" w:customStyle="1" w:styleId="WW-Absatz-Standardschriftart111111111111111111111111111111111111111111111111">
    <w:name w:val="WW-Absatz-Standardschriftart111111111111111111111111111111111111111111111111"/>
    <w:rsid w:val="002C2724"/>
  </w:style>
  <w:style w:type="character" w:customStyle="1" w:styleId="afffffb">
    <w:name w:val="Символ нумерации"/>
    <w:rsid w:val="002C2724"/>
  </w:style>
  <w:style w:type="paragraph" w:customStyle="1" w:styleId="afffffc">
    <w:name w:val="Заголовок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2C272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2C272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2C27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C272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C272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C272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C272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2C27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C272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C272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C272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C272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C272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2C2724"/>
    <w:rPr>
      <w:i/>
      <w:iCs w:val="0"/>
    </w:rPr>
  </w:style>
  <w:style w:type="character" w:customStyle="1" w:styleId="text">
    <w:name w:val="text"/>
    <w:basedOn w:val="a4"/>
    <w:rsid w:val="002C2724"/>
  </w:style>
  <w:style w:type="paragraph" w:customStyle="1" w:styleId="affffff3">
    <w:name w:val="Основной текст ГД Знак Знак Знак"/>
    <w:basedOn w:val="afb"/>
    <w:link w:val="affffff4"/>
    <w:rsid w:val="002C272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2C2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2C272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C272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C272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C272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2C2724"/>
  </w:style>
  <w:style w:type="paragraph" w:customStyle="1" w:styleId="oaenoniinee">
    <w:name w:val="oaeno niinee"/>
    <w:basedOn w:val="a3"/>
    <w:rsid w:val="002C27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C272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C272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C272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C272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C272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C272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2C2724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2C2724"/>
  </w:style>
  <w:style w:type="paragraph" w:customStyle="1" w:styleId="65">
    <w:name w:val="Обычный (веб)6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C272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2C2724"/>
    <w:rPr>
      <w:sz w:val="28"/>
      <w:lang w:val="ru-RU" w:eastAsia="ru-RU" w:bidi="ar-SA"/>
    </w:rPr>
  </w:style>
  <w:style w:type="paragraph" w:customStyle="1" w:styleId="Noeeu32">
    <w:name w:val="Noeeu32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C27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C27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C272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2C272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C272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C272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C272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C2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C272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C2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C272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C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C2724"/>
    <w:rPr>
      <w:rFonts w:ascii="Symbol" w:hAnsi="Symbol"/>
    </w:rPr>
  </w:style>
  <w:style w:type="character" w:customStyle="1" w:styleId="WW8Num3z0">
    <w:name w:val="WW8Num3z0"/>
    <w:rsid w:val="002C2724"/>
    <w:rPr>
      <w:rFonts w:ascii="Symbol" w:hAnsi="Symbol"/>
    </w:rPr>
  </w:style>
  <w:style w:type="character" w:customStyle="1" w:styleId="WW8Num4z0">
    <w:name w:val="WW8Num4z0"/>
    <w:rsid w:val="002C2724"/>
    <w:rPr>
      <w:rFonts w:ascii="Symbol" w:hAnsi="Symbol"/>
    </w:rPr>
  </w:style>
  <w:style w:type="character" w:customStyle="1" w:styleId="WW8Num5z0">
    <w:name w:val="WW8Num5z0"/>
    <w:rsid w:val="002C2724"/>
    <w:rPr>
      <w:rFonts w:ascii="Symbol" w:hAnsi="Symbol"/>
    </w:rPr>
  </w:style>
  <w:style w:type="character" w:customStyle="1" w:styleId="WW8Num6z0">
    <w:name w:val="WW8Num6z0"/>
    <w:rsid w:val="002C2724"/>
    <w:rPr>
      <w:rFonts w:ascii="Symbol" w:hAnsi="Symbol"/>
    </w:rPr>
  </w:style>
  <w:style w:type="character" w:customStyle="1" w:styleId="WW8Num7z0">
    <w:name w:val="WW8Num7z0"/>
    <w:rsid w:val="002C2724"/>
    <w:rPr>
      <w:rFonts w:ascii="Symbol" w:hAnsi="Symbol"/>
    </w:rPr>
  </w:style>
  <w:style w:type="character" w:customStyle="1" w:styleId="WW8Num8z0">
    <w:name w:val="WW8Num8z0"/>
    <w:rsid w:val="002C2724"/>
    <w:rPr>
      <w:rFonts w:ascii="Symbol" w:hAnsi="Symbol"/>
    </w:rPr>
  </w:style>
  <w:style w:type="character" w:customStyle="1" w:styleId="WW8Num9z0">
    <w:name w:val="WW8Num9z0"/>
    <w:rsid w:val="002C2724"/>
    <w:rPr>
      <w:rFonts w:ascii="Symbol" w:hAnsi="Symbol"/>
    </w:rPr>
  </w:style>
  <w:style w:type="character" w:customStyle="1" w:styleId="affffffa">
    <w:name w:val="?????? ?????????"/>
    <w:rsid w:val="002C2724"/>
  </w:style>
  <w:style w:type="character" w:customStyle="1" w:styleId="affffffb">
    <w:name w:val="??????? ??????"/>
    <w:rsid w:val="002C2724"/>
    <w:rPr>
      <w:rFonts w:ascii="OpenSymbol" w:hAnsi="OpenSymbol"/>
    </w:rPr>
  </w:style>
  <w:style w:type="character" w:customStyle="1" w:styleId="affffffc">
    <w:name w:val="Маркеры списка"/>
    <w:rsid w:val="002C272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C272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C272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2C2724"/>
    <w:pPr>
      <w:jc w:val="center"/>
    </w:pPr>
    <w:rPr>
      <w:b/>
    </w:rPr>
  </w:style>
  <w:style w:type="paragraph" w:customStyle="1" w:styleId="WW-13">
    <w:name w:val="WW-?????????? ???????1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C2724"/>
    <w:pPr>
      <w:jc w:val="center"/>
    </w:pPr>
    <w:rPr>
      <w:b/>
    </w:rPr>
  </w:style>
  <w:style w:type="paragraph" w:customStyle="1" w:styleId="WW-120">
    <w:name w:val="WW-?????????? ???????12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C2724"/>
    <w:pPr>
      <w:jc w:val="center"/>
    </w:pPr>
    <w:rPr>
      <w:b/>
    </w:rPr>
  </w:style>
  <w:style w:type="paragraph" w:customStyle="1" w:styleId="WW-123">
    <w:name w:val="WW-?????????? ???????123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C2724"/>
    <w:pPr>
      <w:jc w:val="center"/>
    </w:pPr>
    <w:rPr>
      <w:b/>
    </w:rPr>
  </w:style>
  <w:style w:type="paragraph" w:customStyle="1" w:styleId="WW-1234">
    <w:name w:val="WW-?????????? ???????1234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C2724"/>
    <w:pPr>
      <w:jc w:val="center"/>
    </w:pPr>
    <w:rPr>
      <w:b/>
    </w:rPr>
  </w:style>
  <w:style w:type="paragraph" w:customStyle="1" w:styleId="WW-12345">
    <w:name w:val="WW-?????????? ???????12345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C272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C272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C272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C272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C27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C2724"/>
    <w:pPr>
      <w:jc w:val="center"/>
    </w:pPr>
    <w:rPr>
      <w:b/>
    </w:rPr>
  </w:style>
  <w:style w:type="paragraph" w:customStyle="1" w:styleId="56">
    <w:name w:val="Абзац списка5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C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C272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2C2724"/>
    <w:rPr>
      <w:rFonts w:ascii="Calibri" w:eastAsia="Calibri" w:hAnsi="Calibri" w:cs="Times New Roman"/>
    </w:rPr>
  </w:style>
  <w:style w:type="paragraph" w:customStyle="1" w:styleId="150">
    <w:name w:val="Обычный (веб)15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C27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C2724"/>
    <w:rPr>
      <w:color w:val="0000FF"/>
      <w:u w:val="single"/>
    </w:rPr>
  </w:style>
  <w:style w:type="paragraph" w:customStyle="1" w:styleId="160">
    <w:name w:val="Обычный (веб)16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2C272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2C272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2C272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2C272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C2724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C272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C2724"/>
    <w:rPr>
      <w:b/>
      <w:sz w:val="22"/>
    </w:rPr>
  </w:style>
  <w:style w:type="paragraph" w:customStyle="1" w:styleId="200">
    <w:name w:val="Обычный (веб)20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C272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C2724"/>
  </w:style>
  <w:style w:type="table" w:customStyle="1" w:styleId="3f2">
    <w:name w:val="Сетка таблицы3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C272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C272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C2724"/>
  </w:style>
  <w:style w:type="paragraph" w:customStyle="1" w:styleId="title">
    <w:name w:val="title"/>
    <w:basedOn w:val="a3"/>
    <w:rsid w:val="002C2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C2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C2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C2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C272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C272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C2724"/>
    <w:rPr>
      <w:rFonts w:cs="Calibri"/>
      <w:lang w:eastAsia="en-US"/>
    </w:rPr>
  </w:style>
  <w:style w:type="paragraph" w:styleId="HTML">
    <w:name w:val="HTML Preformatted"/>
    <w:basedOn w:val="a3"/>
    <w:link w:val="HTML0"/>
    <w:rsid w:val="002C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C27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C272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C2724"/>
  </w:style>
  <w:style w:type="table" w:customStyle="1" w:styleId="122">
    <w:name w:val="Сетка таблицы12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C272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C2724"/>
  </w:style>
  <w:style w:type="character" w:customStyle="1" w:styleId="ei">
    <w:name w:val="ei"/>
    <w:basedOn w:val="a4"/>
    <w:rsid w:val="002C2724"/>
  </w:style>
  <w:style w:type="character" w:customStyle="1" w:styleId="apple-converted-space">
    <w:name w:val="apple-converted-space"/>
    <w:basedOn w:val="a4"/>
    <w:rsid w:val="002C2724"/>
  </w:style>
  <w:style w:type="paragraph" w:customStyle="1" w:styleId="2fc">
    <w:name w:val="Основной текст2"/>
    <w:basedOn w:val="a3"/>
    <w:rsid w:val="002C272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C272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C272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C272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C272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C2724"/>
  </w:style>
  <w:style w:type="table" w:customStyle="1" w:styleId="151">
    <w:name w:val="Сетка таблицы15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C2724"/>
  </w:style>
  <w:style w:type="table" w:customStyle="1" w:styleId="161">
    <w:name w:val="Сетка таблицы16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272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C272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C272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C2724"/>
  </w:style>
  <w:style w:type="table" w:customStyle="1" w:styleId="171">
    <w:name w:val="Сетка таблицы17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C2724"/>
  </w:style>
  <w:style w:type="character" w:customStyle="1" w:styleId="blk">
    <w:name w:val="blk"/>
    <w:basedOn w:val="a4"/>
    <w:rsid w:val="002C2724"/>
  </w:style>
  <w:style w:type="character" w:styleId="afffffff5">
    <w:name w:val="endnote reference"/>
    <w:uiPriority w:val="99"/>
    <w:semiHidden/>
    <w:unhideWhenUsed/>
    <w:rsid w:val="002C2724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2C272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C2724"/>
  </w:style>
  <w:style w:type="character" w:customStyle="1" w:styleId="5Exact">
    <w:name w:val="Основной текст (5) Exact"/>
    <w:basedOn w:val="a4"/>
    <w:rsid w:val="002C272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C27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C2724"/>
  </w:style>
  <w:style w:type="table" w:customStyle="1" w:styleId="181">
    <w:name w:val="Сетка таблицы18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C2724"/>
  </w:style>
  <w:style w:type="paragraph" w:customStyle="1" w:styleId="142">
    <w:name w:val="Знак14"/>
    <w:basedOn w:val="a3"/>
    <w:uiPriority w:val="99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C2724"/>
  </w:style>
  <w:style w:type="paragraph" w:customStyle="1" w:styleId="1ff6">
    <w:name w:val="Текст1"/>
    <w:basedOn w:val="a3"/>
    <w:rsid w:val="002C272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C27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C2724"/>
  </w:style>
  <w:style w:type="table" w:customStyle="1" w:styleId="222">
    <w:name w:val="Сетка таблицы22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C2724"/>
  </w:style>
  <w:style w:type="table" w:customStyle="1" w:styleId="232">
    <w:name w:val="Сетка таблицы23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C2724"/>
  </w:style>
  <w:style w:type="paragraph" w:customStyle="1" w:styleId="3f4">
    <w:name w:val="Знак Знак3 Знак Знак"/>
    <w:basedOn w:val="a3"/>
    <w:uiPriority w:val="99"/>
    <w:rsid w:val="002C27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C272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C2724"/>
  </w:style>
  <w:style w:type="character" w:customStyle="1" w:styleId="WW8Num1z0">
    <w:name w:val="WW8Num1z0"/>
    <w:rsid w:val="002C2724"/>
    <w:rPr>
      <w:rFonts w:ascii="Symbol" w:hAnsi="Symbol" w:cs="OpenSymbol"/>
    </w:rPr>
  </w:style>
  <w:style w:type="character" w:customStyle="1" w:styleId="3f5">
    <w:name w:val="Основной шрифт абзаца3"/>
    <w:rsid w:val="002C2724"/>
  </w:style>
  <w:style w:type="paragraph" w:customStyle="1" w:styleId="215">
    <w:name w:val="Обычный (веб)21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C2724"/>
  </w:style>
  <w:style w:type="table" w:customStyle="1" w:styleId="260">
    <w:name w:val="Сетка таблицы26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2C272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C272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C2724"/>
  </w:style>
  <w:style w:type="paragraph" w:customStyle="1" w:styleId="88">
    <w:name w:val="Абзац списка8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C27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C2724"/>
  </w:style>
  <w:style w:type="table" w:customStyle="1" w:styleId="312">
    <w:name w:val="Сетка таблицы31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2C272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C2724"/>
  </w:style>
  <w:style w:type="table" w:customStyle="1" w:styleId="321">
    <w:name w:val="Сетка таблицы32"/>
    <w:basedOn w:val="a5"/>
    <w:next w:val="a9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C2724"/>
  </w:style>
  <w:style w:type="character" w:customStyle="1" w:styleId="1ff8">
    <w:name w:val="Подзаголовок Знак1"/>
    <w:uiPriority w:val="11"/>
    <w:rsid w:val="002C272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C272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C272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C272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C2724"/>
  </w:style>
  <w:style w:type="numbering" w:customStyle="1" w:styleId="252">
    <w:name w:val="Нет списка25"/>
    <w:next w:val="a6"/>
    <w:semiHidden/>
    <w:rsid w:val="002C2724"/>
  </w:style>
  <w:style w:type="table" w:customStyle="1" w:styleId="380">
    <w:name w:val="Сетка таблицы38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C27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C2724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2C272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C27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C2724"/>
  </w:style>
  <w:style w:type="numbering" w:customStyle="1" w:styleId="271">
    <w:name w:val="Нет списка27"/>
    <w:next w:val="a6"/>
    <w:uiPriority w:val="99"/>
    <w:semiHidden/>
    <w:unhideWhenUsed/>
    <w:rsid w:val="002C2724"/>
  </w:style>
  <w:style w:type="numbering" w:customStyle="1" w:styleId="281">
    <w:name w:val="Нет списка28"/>
    <w:next w:val="a6"/>
    <w:uiPriority w:val="99"/>
    <w:semiHidden/>
    <w:unhideWhenUsed/>
    <w:rsid w:val="002C2724"/>
  </w:style>
  <w:style w:type="paragraph" w:customStyle="1" w:styleId="Style3">
    <w:name w:val="Style3"/>
    <w:basedOn w:val="a3"/>
    <w:uiPriority w:val="99"/>
    <w:rsid w:val="002C272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C272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C272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C272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C272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C272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C272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C272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C272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C272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C272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C272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C27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C272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C272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C272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2C272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C272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C2724"/>
  </w:style>
  <w:style w:type="numbering" w:customStyle="1" w:styleId="291">
    <w:name w:val="Нет списка29"/>
    <w:next w:val="a6"/>
    <w:uiPriority w:val="99"/>
    <w:semiHidden/>
    <w:unhideWhenUsed/>
    <w:rsid w:val="002C2724"/>
  </w:style>
  <w:style w:type="table" w:customStyle="1" w:styleId="420">
    <w:name w:val="Сетка таблицы42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2C272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C272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C2724"/>
  </w:style>
  <w:style w:type="table" w:customStyle="1" w:styleId="430">
    <w:name w:val="Сетка таблицы43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C2724"/>
  </w:style>
  <w:style w:type="numbering" w:customStyle="1" w:styleId="322">
    <w:name w:val="Нет списка32"/>
    <w:next w:val="a6"/>
    <w:uiPriority w:val="99"/>
    <w:semiHidden/>
    <w:unhideWhenUsed/>
    <w:rsid w:val="002C2724"/>
  </w:style>
  <w:style w:type="numbering" w:customStyle="1" w:styleId="331">
    <w:name w:val="Нет списка33"/>
    <w:next w:val="a6"/>
    <w:uiPriority w:val="99"/>
    <w:semiHidden/>
    <w:unhideWhenUsed/>
    <w:rsid w:val="002C2724"/>
  </w:style>
  <w:style w:type="table" w:customStyle="1" w:styleId="440">
    <w:name w:val="Сетка таблицы44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C2724"/>
  </w:style>
  <w:style w:type="numbering" w:customStyle="1" w:styleId="351">
    <w:name w:val="Нет списка35"/>
    <w:next w:val="a6"/>
    <w:semiHidden/>
    <w:rsid w:val="002C2724"/>
  </w:style>
  <w:style w:type="paragraph" w:customStyle="1" w:styleId="afffffff8">
    <w:name w:val="Знак Знак Знак"/>
    <w:basedOn w:val="a3"/>
    <w:rsid w:val="002C27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2C272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C27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C27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C27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2C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2C27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2C2724"/>
  </w:style>
  <w:style w:type="paragraph" w:customStyle="1" w:styleId="262">
    <w:name w:val="Основной текст 26"/>
    <w:basedOn w:val="a3"/>
    <w:rsid w:val="002C272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2C2724"/>
  </w:style>
  <w:style w:type="character" w:customStyle="1" w:styleId="apple-style-span">
    <w:name w:val="apple-style-span"/>
    <w:basedOn w:val="a4"/>
    <w:rsid w:val="002C2724"/>
  </w:style>
  <w:style w:type="numbering" w:customStyle="1" w:styleId="1100">
    <w:name w:val="Нет списка110"/>
    <w:next w:val="a6"/>
    <w:uiPriority w:val="99"/>
    <w:semiHidden/>
    <w:unhideWhenUsed/>
    <w:rsid w:val="002C2724"/>
  </w:style>
  <w:style w:type="paragraph" w:customStyle="1" w:styleId="msonormal0">
    <w:name w:val="msonormal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2C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2C2724"/>
  </w:style>
  <w:style w:type="paragraph" w:customStyle="1" w:styleId="5d">
    <w:name w:val="Основной текст5"/>
    <w:basedOn w:val="a3"/>
    <w:rsid w:val="002C2724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7">
    <w:name w:val="Заголовок №3_"/>
    <w:basedOn w:val="a4"/>
    <w:link w:val="3f8"/>
    <w:rsid w:val="002C2724"/>
    <w:rPr>
      <w:rFonts w:cs="Calibri"/>
      <w:b/>
      <w:bCs/>
      <w:sz w:val="21"/>
      <w:szCs w:val="21"/>
      <w:shd w:val="clear" w:color="auto" w:fill="FFFFFF"/>
    </w:rPr>
  </w:style>
  <w:style w:type="paragraph" w:customStyle="1" w:styleId="3f8">
    <w:name w:val="Заголовок №3"/>
    <w:basedOn w:val="a3"/>
    <w:link w:val="3f7"/>
    <w:rsid w:val="002C2724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d">
    <w:name w:val="Основной текст (2)_"/>
    <w:basedOn w:val="a4"/>
    <w:link w:val="2fe"/>
    <w:rsid w:val="002C2724"/>
    <w:rPr>
      <w:rFonts w:cs="Calibri"/>
      <w:b/>
      <w:bCs/>
      <w:sz w:val="21"/>
      <w:szCs w:val="21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2C2724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2C27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2C2724"/>
  </w:style>
  <w:style w:type="table" w:customStyle="1" w:styleId="550">
    <w:name w:val="Сетка таблицы55"/>
    <w:basedOn w:val="a5"/>
    <w:next w:val="a9"/>
    <w:rsid w:val="002C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2C2724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2C2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20768</Words>
  <Characters>118383</Characters>
  <Application>Microsoft Office Word</Application>
  <DocSecurity>0</DocSecurity>
  <Lines>986</Lines>
  <Paragraphs>277</Paragraphs>
  <ScaleCrop>false</ScaleCrop>
  <Company/>
  <LinksUpToDate>false</LinksUpToDate>
  <CharactersWithSpaces>138874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2022-09-12T10:00:00Z</dcterms:created>
  <dcterms:modified xsi:type="dcterms:W3CDTF">2022-09-12T10:00:00Z</dcterms:modified>
</cp:coreProperties>
</file>