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74" w:rsidRPr="00585474" w:rsidRDefault="00585474" w:rsidP="00585474">
      <w:pPr>
        <w:spacing w:after="0" w:line="240" w:lineRule="auto"/>
        <w:ind w:firstLine="567"/>
        <w:jc w:val="center"/>
        <w:rPr>
          <w:rFonts w:ascii="Arial" w:eastAsia="Times New Roman" w:hAnsi="Arial" w:cs="Arial"/>
          <w:b/>
          <w:bCs/>
          <w:sz w:val="28"/>
          <w:szCs w:val="28"/>
          <w:lang w:eastAsia="ru-RU"/>
        </w:rPr>
      </w:pPr>
      <w:r w:rsidRPr="00585474">
        <w:rPr>
          <w:rFonts w:ascii="Arial" w:eastAsia="Times New Roman" w:hAnsi="Arial" w:cs="Arial"/>
          <w:noProof/>
          <w:sz w:val="24"/>
          <w:szCs w:val="24"/>
          <w:lang w:eastAsia="ru-RU"/>
        </w:rPr>
        <w:drawing>
          <wp:inline distT="0" distB="0" distL="0" distR="0">
            <wp:extent cx="464185" cy="5461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64185" cy="546100"/>
                    </a:xfrm>
                    <a:prstGeom prst="rect">
                      <a:avLst/>
                    </a:prstGeom>
                    <a:noFill/>
                    <a:ln w="9525">
                      <a:noFill/>
                      <a:miter lim="800000"/>
                      <a:headEnd/>
                      <a:tailEnd/>
                    </a:ln>
                  </pic:spPr>
                </pic:pic>
              </a:graphicData>
            </a:graphic>
          </wp:inline>
        </w:drawing>
      </w:r>
    </w:p>
    <w:p w:rsidR="00585474" w:rsidRPr="00585474" w:rsidRDefault="00585474" w:rsidP="00585474">
      <w:pPr>
        <w:spacing w:after="0" w:line="240" w:lineRule="auto"/>
        <w:rPr>
          <w:rFonts w:ascii="Arial" w:eastAsia="Times New Roman" w:hAnsi="Arial" w:cs="Arial"/>
          <w:b/>
          <w:bCs/>
          <w:sz w:val="28"/>
          <w:szCs w:val="28"/>
          <w:lang w:eastAsia="ru-RU"/>
        </w:rPr>
      </w:pPr>
    </w:p>
    <w:p w:rsidR="00585474" w:rsidRPr="00585474" w:rsidRDefault="00585474" w:rsidP="00585474">
      <w:pPr>
        <w:spacing w:after="0" w:line="240" w:lineRule="auto"/>
        <w:jc w:val="center"/>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     АДМИНИСТРАЦИЯ  БОГУЧАНСКОГО РАЙОНА</w:t>
      </w:r>
    </w:p>
    <w:p w:rsidR="00585474" w:rsidRPr="00585474" w:rsidRDefault="00585474" w:rsidP="00585474">
      <w:pPr>
        <w:spacing w:after="0" w:line="240" w:lineRule="auto"/>
        <w:jc w:val="center"/>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       ПОСТАНОВЛЕНИЕ</w:t>
      </w:r>
    </w:p>
    <w:p w:rsidR="00585474" w:rsidRPr="00585474" w:rsidRDefault="00585474" w:rsidP="00585474">
      <w:pPr>
        <w:spacing w:after="0" w:line="240" w:lineRule="auto"/>
        <w:jc w:val="center"/>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20.02.2020                                  с. </w:t>
      </w:r>
      <w:proofErr w:type="spellStart"/>
      <w:r w:rsidRPr="00585474">
        <w:rPr>
          <w:rFonts w:ascii="Arial" w:eastAsia="Times New Roman" w:hAnsi="Arial" w:cs="Arial"/>
          <w:sz w:val="26"/>
          <w:szCs w:val="26"/>
          <w:lang w:eastAsia="ru-RU"/>
        </w:rPr>
        <w:t>Богучаны</w:t>
      </w:r>
      <w:proofErr w:type="spellEnd"/>
      <w:r w:rsidRPr="00585474">
        <w:rPr>
          <w:rFonts w:ascii="Arial" w:eastAsia="Times New Roman" w:hAnsi="Arial" w:cs="Arial"/>
          <w:sz w:val="26"/>
          <w:szCs w:val="26"/>
          <w:lang w:eastAsia="ru-RU"/>
        </w:rPr>
        <w:t xml:space="preserve">                                 №164-п</w:t>
      </w:r>
    </w:p>
    <w:p w:rsidR="00585474" w:rsidRPr="00585474" w:rsidRDefault="00585474" w:rsidP="00585474">
      <w:pPr>
        <w:spacing w:after="0" w:line="240" w:lineRule="auto"/>
        <w:jc w:val="center"/>
        <w:rPr>
          <w:rFonts w:ascii="Arial" w:eastAsia="Times New Roman" w:hAnsi="Arial" w:cs="Arial"/>
          <w:sz w:val="26"/>
          <w:szCs w:val="26"/>
          <w:lang w:eastAsia="ru-RU"/>
        </w:rPr>
      </w:pPr>
    </w:p>
    <w:p w:rsidR="00585474" w:rsidRPr="00585474" w:rsidRDefault="00585474" w:rsidP="00585474">
      <w:pPr>
        <w:tabs>
          <w:tab w:val="left" w:pos="6237"/>
        </w:tabs>
        <w:spacing w:after="0" w:line="240" w:lineRule="atLeast"/>
        <w:ind w:right="-1"/>
        <w:jc w:val="center"/>
        <w:rPr>
          <w:rFonts w:ascii="Arial" w:eastAsia="Times New Roman" w:hAnsi="Arial" w:cs="Arial"/>
          <w:bCs/>
          <w:sz w:val="26"/>
          <w:szCs w:val="26"/>
          <w:lang w:eastAsia="ru-RU"/>
        </w:rPr>
      </w:pPr>
      <w:r w:rsidRPr="00585474">
        <w:rPr>
          <w:rFonts w:ascii="Arial" w:eastAsia="Times New Roman" w:hAnsi="Arial" w:cs="Arial"/>
          <w:bCs/>
          <w:sz w:val="26"/>
          <w:szCs w:val="26"/>
          <w:lang w:eastAsia="ru-RU"/>
        </w:rPr>
        <w:t xml:space="preserve">Об утверждении </w:t>
      </w:r>
      <w:proofErr w:type="gramStart"/>
      <w:r w:rsidRPr="00585474">
        <w:rPr>
          <w:rFonts w:ascii="Arial" w:eastAsia="Times New Roman" w:hAnsi="Arial" w:cs="Arial"/>
          <w:bCs/>
          <w:sz w:val="26"/>
          <w:szCs w:val="26"/>
          <w:lang w:eastAsia="ru-RU"/>
        </w:rPr>
        <w:t>перечня ключевых показателей эффективности функционирования системы внутреннего обеспечения соответствия</w:t>
      </w:r>
      <w:proofErr w:type="gramEnd"/>
      <w:r w:rsidRPr="00585474">
        <w:rPr>
          <w:rFonts w:ascii="Arial" w:eastAsia="Times New Roman" w:hAnsi="Arial" w:cs="Arial"/>
          <w:bCs/>
          <w:sz w:val="26"/>
          <w:szCs w:val="26"/>
          <w:lang w:eastAsia="ru-RU"/>
        </w:rPr>
        <w:t xml:space="preserve"> требованиям антимонопольного законодательства деятельности в администрации </w:t>
      </w:r>
      <w:proofErr w:type="spellStart"/>
      <w:r w:rsidRPr="00585474">
        <w:rPr>
          <w:rFonts w:ascii="Arial" w:eastAsia="Times New Roman" w:hAnsi="Arial" w:cs="Arial"/>
          <w:bCs/>
          <w:sz w:val="26"/>
          <w:szCs w:val="26"/>
          <w:lang w:eastAsia="ru-RU"/>
        </w:rPr>
        <w:t>Богучанского</w:t>
      </w:r>
      <w:proofErr w:type="spellEnd"/>
      <w:r w:rsidRPr="00585474">
        <w:rPr>
          <w:rFonts w:ascii="Arial" w:eastAsia="Times New Roman" w:hAnsi="Arial" w:cs="Arial"/>
          <w:bCs/>
          <w:sz w:val="26"/>
          <w:szCs w:val="26"/>
          <w:lang w:eastAsia="ru-RU"/>
        </w:rPr>
        <w:t xml:space="preserve"> района</w:t>
      </w:r>
    </w:p>
    <w:p w:rsidR="00585474" w:rsidRPr="00585474" w:rsidRDefault="00585474" w:rsidP="00585474">
      <w:pPr>
        <w:tabs>
          <w:tab w:val="left" w:pos="6237"/>
        </w:tabs>
        <w:spacing w:after="0" w:line="240" w:lineRule="atLeast"/>
        <w:ind w:right="-1"/>
        <w:jc w:val="center"/>
        <w:rPr>
          <w:rFonts w:ascii="Arial" w:hAnsi="Arial" w:cs="Arial"/>
          <w:sz w:val="26"/>
          <w:szCs w:val="26"/>
          <w:lang w:eastAsia="ru-RU"/>
        </w:rPr>
      </w:pPr>
    </w:p>
    <w:p w:rsidR="00585474" w:rsidRPr="00585474" w:rsidRDefault="00585474" w:rsidP="00585474">
      <w:pPr>
        <w:spacing w:after="0" w:line="240" w:lineRule="auto"/>
        <w:jc w:val="both"/>
        <w:rPr>
          <w:rFonts w:ascii="Arial" w:eastAsia="Times New Roman" w:hAnsi="Arial" w:cs="Arial"/>
          <w:b/>
          <w:sz w:val="26"/>
          <w:szCs w:val="26"/>
          <w:lang w:eastAsia="ru-RU"/>
        </w:rPr>
      </w:pPr>
      <w:proofErr w:type="gramStart"/>
      <w:r w:rsidRPr="00585474">
        <w:rPr>
          <w:rFonts w:ascii="Arial" w:eastAsia="Times New Roman" w:hAnsi="Arial" w:cs="Arial"/>
          <w:sz w:val="26"/>
          <w:szCs w:val="26"/>
          <w:lang w:eastAsia="ru-RU"/>
        </w:rPr>
        <w:t>В соответствии с Указом Президента Российской Федерации от 21.12.2017г. № 618 «Об основных направлениях государственной политики по развитию конкуренции», распоряжением Правительства Российской Федерации от 18 октября 2018г.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приказом Федеральной антимонопольной службы от 05.02.2019 №133/19 «Об утверждении методики расчета ключевых</w:t>
      </w:r>
      <w:proofErr w:type="gramEnd"/>
      <w:r w:rsidRPr="00585474">
        <w:rPr>
          <w:rFonts w:ascii="Arial" w:eastAsia="Times New Roman" w:hAnsi="Arial" w:cs="Arial"/>
          <w:sz w:val="26"/>
          <w:szCs w:val="26"/>
          <w:lang w:eastAsia="ru-RU"/>
        </w:rPr>
        <w:t xml:space="preserve"> показателей эффективности функционирования в федеральном органе исполнительной власти антимонопольного </w:t>
      </w:r>
      <w:proofErr w:type="spellStart"/>
      <w:r w:rsidRPr="00585474">
        <w:rPr>
          <w:rFonts w:ascii="Arial" w:eastAsia="Times New Roman" w:hAnsi="Arial" w:cs="Arial"/>
          <w:sz w:val="26"/>
          <w:szCs w:val="26"/>
          <w:lang w:eastAsia="ru-RU"/>
        </w:rPr>
        <w:t>комплаенса</w:t>
      </w:r>
      <w:proofErr w:type="spellEnd"/>
      <w:r w:rsidRPr="00585474">
        <w:rPr>
          <w:rFonts w:ascii="Arial" w:eastAsia="Times New Roman" w:hAnsi="Arial" w:cs="Arial"/>
          <w:sz w:val="26"/>
          <w:szCs w:val="26"/>
          <w:lang w:eastAsia="ru-RU"/>
        </w:rPr>
        <w:t xml:space="preserve">», руководствуясь статьями 7, 43, 47  Устава  </w:t>
      </w:r>
      <w:proofErr w:type="spellStart"/>
      <w:r w:rsidRPr="00585474">
        <w:rPr>
          <w:rFonts w:ascii="Arial" w:eastAsia="Times New Roman" w:hAnsi="Arial" w:cs="Arial"/>
          <w:sz w:val="26"/>
          <w:szCs w:val="26"/>
          <w:lang w:eastAsia="ru-RU"/>
        </w:rPr>
        <w:t>Богучанского</w:t>
      </w:r>
      <w:proofErr w:type="spellEnd"/>
      <w:r w:rsidRPr="00585474">
        <w:rPr>
          <w:rFonts w:ascii="Arial" w:eastAsia="Times New Roman" w:hAnsi="Arial" w:cs="Arial"/>
          <w:sz w:val="26"/>
          <w:szCs w:val="26"/>
          <w:lang w:eastAsia="ru-RU"/>
        </w:rPr>
        <w:t xml:space="preserve">   района   Красноярского   края, ПОСТАНОВЛЯЮ:</w:t>
      </w:r>
    </w:p>
    <w:p w:rsidR="00585474" w:rsidRPr="00585474" w:rsidRDefault="00585474" w:rsidP="00585474">
      <w:pPr>
        <w:autoSpaceDE w:val="0"/>
        <w:autoSpaceDN w:val="0"/>
        <w:adjustRightInd w:val="0"/>
        <w:spacing w:after="0" w:line="240" w:lineRule="auto"/>
        <w:jc w:val="both"/>
        <w:rPr>
          <w:rFonts w:ascii="Arial" w:hAnsi="Arial" w:cs="Arial"/>
          <w:color w:val="000000"/>
          <w:sz w:val="26"/>
          <w:szCs w:val="26"/>
        </w:rPr>
      </w:pPr>
      <w:r w:rsidRPr="00585474">
        <w:rPr>
          <w:rFonts w:ascii="Arial" w:hAnsi="Arial" w:cs="Arial"/>
          <w:color w:val="000000"/>
          <w:sz w:val="26"/>
          <w:szCs w:val="26"/>
        </w:rPr>
        <w:t xml:space="preserve">         1.Утвердить перечень ключевых </w:t>
      </w:r>
      <w:proofErr w:type="gramStart"/>
      <w:r w:rsidRPr="00585474">
        <w:rPr>
          <w:rFonts w:ascii="Arial" w:hAnsi="Arial" w:cs="Arial"/>
          <w:color w:val="000000"/>
          <w:sz w:val="26"/>
          <w:szCs w:val="26"/>
        </w:rPr>
        <w:t>показателей эффективности функционирования системы внутреннего обеспечения соответствия</w:t>
      </w:r>
      <w:proofErr w:type="gramEnd"/>
      <w:r w:rsidRPr="00585474">
        <w:rPr>
          <w:rFonts w:ascii="Arial" w:hAnsi="Arial" w:cs="Arial"/>
          <w:color w:val="000000"/>
          <w:sz w:val="26"/>
          <w:szCs w:val="26"/>
        </w:rPr>
        <w:t xml:space="preserve"> требованиям антимонопольного законодательства деятельности администрации </w:t>
      </w:r>
      <w:proofErr w:type="spellStart"/>
      <w:r w:rsidRPr="00585474">
        <w:rPr>
          <w:rFonts w:ascii="Arial" w:hAnsi="Arial" w:cs="Arial"/>
          <w:color w:val="000000"/>
          <w:sz w:val="26"/>
          <w:szCs w:val="26"/>
        </w:rPr>
        <w:t>Богучанского</w:t>
      </w:r>
      <w:proofErr w:type="spellEnd"/>
      <w:r w:rsidRPr="00585474">
        <w:rPr>
          <w:rFonts w:ascii="Arial" w:hAnsi="Arial" w:cs="Arial"/>
          <w:color w:val="000000"/>
          <w:sz w:val="26"/>
          <w:szCs w:val="26"/>
        </w:rPr>
        <w:t xml:space="preserve"> района, согласно Приложению. </w:t>
      </w:r>
    </w:p>
    <w:p w:rsidR="00585474" w:rsidRPr="00585474" w:rsidRDefault="00585474" w:rsidP="00585474">
      <w:pPr>
        <w:spacing w:after="0" w:line="240" w:lineRule="auto"/>
        <w:jc w:val="both"/>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         2. Разместить на официальном сайте муниципального образования «</w:t>
      </w:r>
      <w:proofErr w:type="spellStart"/>
      <w:r w:rsidRPr="00585474">
        <w:rPr>
          <w:rFonts w:ascii="Arial" w:eastAsia="Times New Roman" w:hAnsi="Arial" w:cs="Arial"/>
          <w:sz w:val="26"/>
          <w:szCs w:val="26"/>
          <w:lang w:eastAsia="ru-RU"/>
        </w:rPr>
        <w:t>Богучанский</w:t>
      </w:r>
      <w:proofErr w:type="spellEnd"/>
      <w:r w:rsidRPr="00585474">
        <w:rPr>
          <w:rFonts w:ascii="Arial" w:eastAsia="Times New Roman" w:hAnsi="Arial" w:cs="Arial"/>
          <w:sz w:val="26"/>
          <w:szCs w:val="26"/>
          <w:lang w:eastAsia="ru-RU"/>
        </w:rPr>
        <w:t xml:space="preserve"> район».</w:t>
      </w:r>
    </w:p>
    <w:p w:rsidR="00585474" w:rsidRPr="00585474" w:rsidRDefault="00585474" w:rsidP="00585474">
      <w:pPr>
        <w:spacing w:after="0" w:line="240" w:lineRule="auto"/>
        <w:jc w:val="both"/>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         3. </w:t>
      </w:r>
      <w:proofErr w:type="gramStart"/>
      <w:r w:rsidRPr="00585474">
        <w:rPr>
          <w:rFonts w:ascii="Arial" w:eastAsia="Times New Roman" w:hAnsi="Arial" w:cs="Arial"/>
          <w:sz w:val="26"/>
          <w:szCs w:val="26"/>
          <w:lang w:eastAsia="ru-RU"/>
        </w:rPr>
        <w:t>Контроль за</w:t>
      </w:r>
      <w:proofErr w:type="gramEnd"/>
      <w:r w:rsidRPr="00585474">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585474">
        <w:rPr>
          <w:rFonts w:ascii="Arial" w:eastAsia="Times New Roman" w:hAnsi="Arial" w:cs="Arial"/>
          <w:sz w:val="26"/>
          <w:szCs w:val="26"/>
          <w:lang w:eastAsia="ru-RU"/>
        </w:rPr>
        <w:t>Богучанского</w:t>
      </w:r>
      <w:proofErr w:type="spellEnd"/>
      <w:r w:rsidRPr="00585474">
        <w:rPr>
          <w:rFonts w:ascii="Arial" w:eastAsia="Times New Roman" w:hAnsi="Arial" w:cs="Arial"/>
          <w:sz w:val="26"/>
          <w:szCs w:val="26"/>
          <w:lang w:eastAsia="ru-RU"/>
        </w:rPr>
        <w:t xml:space="preserve">  района  по экономике и планированию    Н.В. </w:t>
      </w:r>
      <w:proofErr w:type="spellStart"/>
      <w:r w:rsidRPr="00585474">
        <w:rPr>
          <w:rFonts w:ascii="Arial" w:eastAsia="Times New Roman" w:hAnsi="Arial" w:cs="Arial"/>
          <w:sz w:val="26"/>
          <w:szCs w:val="26"/>
          <w:lang w:eastAsia="ru-RU"/>
        </w:rPr>
        <w:t>Илиндееву</w:t>
      </w:r>
      <w:proofErr w:type="spellEnd"/>
      <w:r w:rsidRPr="00585474">
        <w:rPr>
          <w:rFonts w:ascii="Arial" w:eastAsia="Times New Roman" w:hAnsi="Arial" w:cs="Arial"/>
          <w:sz w:val="26"/>
          <w:szCs w:val="26"/>
          <w:lang w:eastAsia="ru-RU"/>
        </w:rPr>
        <w:t>.</w:t>
      </w:r>
    </w:p>
    <w:p w:rsidR="00585474" w:rsidRPr="00585474" w:rsidRDefault="00585474" w:rsidP="00585474">
      <w:pPr>
        <w:spacing w:after="0" w:line="240" w:lineRule="auto"/>
        <w:jc w:val="both"/>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         4. Постановление вступает в силу со дня, следующего за днем его опубликования в Официальном вестнике </w:t>
      </w:r>
      <w:proofErr w:type="spellStart"/>
      <w:r w:rsidRPr="00585474">
        <w:rPr>
          <w:rFonts w:ascii="Arial" w:eastAsia="Times New Roman" w:hAnsi="Arial" w:cs="Arial"/>
          <w:sz w:val="26"/>
          <w:szCs w:val="26"/>
          <w:lang w:eastAsia="ru-RU"/>
        </w:rPr>
        <w:t>Богучанского</w:t>
      </w:r>
      <w:proofErr w:type="spellEnd"/>
      <w:r w:rsidRPr="00585474">
        <w:rPr>
          <w:rFonts w:ascii="Arial" w:eastAsia="Times New Roman" w:hAnsi="Arial" w:cs="Arial"/>
          <w:sz w:val="26"/>
          <w:szCs w:val="26"/>
          <w:lang w:eastAsia="ru-RU"/>
        </w:rPr>
        <w:t xml:space="preserve"> района.</w:t>
      </w:r>
    </w:p>
    <w:p w:rsidR="00585474" w:rsidRPr="00585474" w:rsidRDefault="00585474" w:rsidP="00585474">
      <w:pPr>
        <w:spacing w:after="0" w:line="240" w:lineRule="auto"/>
        <w:jc w:val="both"/>
        <w:rPr>
          <w:rFonts w:ascii="Arial" w:eastAsia="Times New Roman" w:hAnsi="Arial" w:cs="Arial"/>
          <w:sz w:val="26"/>
          <w:szCs w:val="26"/>
          <w:lang w:eastAsia="ru-RU"/>
        </w:rPr>
      </w:pPr>
    </w:p>
    <w:p w:rsidR="00585474" w:rsidRPr="00585474" w:rsidRDefault="00585474" w:rsidP="00585474">
      <w:pPr>
        <w:spacing w:after="0" w:line="240" w:lineRule="auto"/>
        <w:jc w:val="both"/>
        <w:rPr>
          <w:rFonts w:ascii="Arial" w:eastAsia="Times New Roman" w:hAnsi="Arial" w:cs="Arial"/>
          <w:sz w:val="26"/>
          <w:szCs w:val="26"/>
          <w:lang w:eastAsia="ru-RU"/>
        </w:rPr>
      </w:pPr>
      <w:r w:rsidRPr="00585474">
        <w:rPr>
          <w:rFonts w:ascii="Arial" w:eastAsia="Times New Roman" w:hAnsi="Arial" w:cs="Arial"/>
          <w:sz w:val="26"/>
          <w:szCs w:val="26"/>
          <w:lang w:eastAsia="ru-RU"/>
        </w:rPr>
        <w:t xml:space="preserve">И.о. Главы </w:t>
      </w:r>
      <w:proofErr w:type="spellStart"/>
      <w:r w:rsidRPr="00585474">
        <w:rPr>
          <w:rFonts w:ascii="Arial" w:eastAsia="Times New Roman" w:hAnsi="Arial" w:cs="Arial"/>
          <w:sz w:val="26"/>
          <w:szCs w:val="26"/>
          <w:lang w:eastAsia="ru-RU"/>
        </w:rPr>
        <w:t>Богучанского</w:t>
      </w:r>
      <w:proofErr w:type="spellEnd"/>
      <w:r w:rsidRPr="00585474">
        <w:rPr>
          <w:rFonts w:ascii="Arial" w:eastAsia="Times New Roman" w:hAnsi="Arial" w:cs="Arial"/>
          <w:sz w:val="26"/>
          <w:szCs w:val="26"/>
          <w:lang w:eastAsia="ru-RU"/>
        </w:rPr>
        <w:t xml:space="preserve"> района</w:t>
      </w:r>
      <w:r w:rsidRPr="00585474">
        <w:rPr>
          <w:rFonts w:ascii="Arial" w:eastAsia="Times New Roman" w:hAnsi="Arial" w:cs="Arial"/>
          <w:sz w:val="26"/>
          <w:szCs w:val="26"/>
          <w:lang w:eastAsia="ru-RU"/>
        </w:rPr>
        <w:tab/>
        <w:t xml:space="preserve">                                    И.М.</w:t>
      </w:r>
      <w:proofErr w:type="gramStart"/>
      <w:r w:rsidRPr="00585474">
        <w:rPr>
          <w:rFonts w:ascii="Arial" w:eastAsia="Times New Roman" w:hAnsi="Arial" w:cs="Arial"/>
          <w:sz w:val="26"/>
          <w:szCs w:val="26"/>
          <w:lang w:eastAsia="ru-RU"/>
        </w:rPr>
        <w:t>Брюханов</w:t>
      </w:r>
      <w:proofErr w:type="gramEnd"/>
    </w:p>
    <w:p w:rsidR="00585474" w:rsidRPr="00585474" w:rsidRDefault="00585474" w:rsidP="00585474">
      <w:pPr>
        <w:autoSpaceDE w:val="0"/>
        <w:autoSpaceDN w:val="0"/>
        <w:adjustRightInd w:val="0"/>
        <w:spacing w:after="0" w:line="240" w:lineRule="auto"/>
        <w:rPr>
          <w:rFonts w:ascii="Arial" w:hAnsi="Arial" w:cs="Arial"/>
          <w:b/>
          <w:bCs/>
          <w:color w:val="000000"/>
          <w:sz w:val="20"/>
          <w:szCs w:val="20"/>
        </w:rPr>
      </w:pPr>
      <w:r w:rsidRPr="00585474">
        <w:rPr>
          <w:rFonts w:ascii="Arial" w:hAnsi="Arial" w:cs="Arial"/>
          <w:b/>
          <w:bCs/>
          <w:color w:val="000000"/>
          <w:sz w:val="20"/>
          <w:szCs w:val="20"/>
        </w:rPr>
        <w:t xml:space="preserve">                                                                           </w:t>
      </w:r>
    </w:p>
    <w:p w:rsidR="00585474" w:rsidRPr="00585474" w:rsidRDefault="00585474" w:rsidP="00585474">
      <w:pPr>
        <w:autoSpaceDE w:val="0"/>
        <w:autoSpaceDN w:val="0"/>
        <w:adjustRightInd w:val="0"/>
        <w:spacing w:after="0" w:line="240" w:lineRule="auto"/>
        <w:jc w:val="right"/>
        <w:rPr>
          <w:rFonts w:ascii="Arial" w:hAnsi="Arial" w:cs="Arial"/>
          <w:color w:val="000000"/>
          <w:sz w:val="18"/>
          <w:szCs w:val="20"/>
        </w:rPr>
      </w:pPr>
      <w:r w:rsidRPr="00585474">
        <w:rPr>
          <w:rFonts w:ascii="Arial" w:hAnsi="Arial" w:cs="Arial"/>
          <w:bCs/>
          <w:color w:val="000000"/>
          <w:sz w:val="18"/>
          <w:szCs w:val="20"/>
        </w:rPr>
        <w:t>Приложение</w:t>
      </w:r>
    </w:p>
    <w:p w:rsidR="00585474" w:rsidRPr="00585474" w:rsidRDefault="00585474" w:rsidP="00585474">
      <w:pPr>
        <w:autoSpaceDE w:val="0"/>
        <w:autoSpaceDN w:val="0"/>
        <w:adjustRightInd w:val="0"/>
        <w:spacing w:after="0" w:line="240" w:lineRule="auto"/>
        <w:jc w:val="right"/>
        <w:rPr>
          <w:rFonts w:ascii="Arial" w:hAnsi="Arial" w:cs="Arial"/>
          <w:color w:val="000000"/>
          <w:sz w:val="18"/>
          <w:szCs w:val="20"/>
        </w:rPr>
      </w:pPr>
      <w:r w:rsidRPr="00585474">
        <w:rPr>
          <w:rFonts w:ascii="Arial" w:hAnsi="Arial" w:cs="Arial"/>
          <w:color w:val="000000"/>
          <w:sz w:val="18"/>
          <w:szCs w:val="20"/>
        </w:rPr>
        <w:t>постановлением администрации</w:t>
      </w:r>
    </w:p>
    <w:p w:rsidR="00585474" w:rsidRPr="00585474" w:rsidRDefault="00585474" w:rsidP="00585474">
      <w:pPr>
        <w:autoSpaceDE w:val="0"/>
        <w:autoSpaceDN w:val="0"/>
        <w:adjustRightInd w:val="0"/>
        <w:spacing w:after="0" w:line="240" w:lineRule="auto"/>
        <w:jc w:val="right"/>
        <w:rPr>
          <w:rFonts w:ascii="Arial" w:hAnsi="Arial" w:cs="Arial"/>
          <w:color w:val="000000"/>
          <w:sz w:val="18"/>
          <w:szCs w:val="20"/>
        </w:rPr>
      </w:pPr>
      <w:proofErr w:type="spellStart"/>
      <w:r w:rsidRPr="00585474">
        <w:rPr>
          <w:rFonts w:ascii="Arial" w:hAnsi="Arial" w:cs="Arial"/>
          <w:color w:val="000000"/>
          <w:sz w:val="18"/>
          <w:szCs w:val="20"/>
        </w:rPr>
        <w:t>Богучанского</w:t>
      </w:r>
      <w:proofErr w:type="spellEnd"/>
      <w:r w:rsidRPr="00585474">
        <w:rPr>
          <w:rFonts w:ascii="Arial" w:hAnsi="Arial" w:cs="Arial"/>
          <w:color w:val="000000"/>
          <w:sz w:val="18"/>
          <w:szCs w:val="20"/>
        </w:rPr>
        <w:t xml:space="preserve"> района</w:t>
      </w:r>
    </w:p>
    <w:p w:rsidR="00585474" w:rsidRPr="00585474" w:rsidRDefault="00585474" w:rsidP="00585474">
      <w:pPr>
        <w:tabs>
          <w:tab w:val="left" w:pos="6237"/>
        </w:tabs>
        <w:spacing w:after="0" w:line="240" w:lineRule="auto"/>
        <w:ind w:left="5245" w:right="-1" w:hanging="5245"/>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 xml:space="preserve">от 20.02.2020 года № 164-п </w:t>
      </w:r>
    </w:p>
    <w:p w:rsidR="00585474" w:rsidRPr="00585474" w:rsidRDefault="00585474" w:rsidP="00585474">
      <w:pPr>
        <w:tabs>
          <w:tab w:val="left" w:pos="6237"/>
        </w:tabs>
        <w:spacing w:after="0" w:line="240" w:lineRule="auto"/>
        <w:ind w:left="5245" w:right="-1" w:hanging="5245"/>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 xml:space="preserve"> «Об утверждении перечня </w:t>
      </w:r>
      <w:proofErr w:type="gramStart"/>
      <w:r w:rsidRPr="00585474">
        <w:rPr>
          <w:rFonts w:ascii="Arial" w:eastAsia="Times New Roman" w:hAnsi="Arial" w:cs="Arial"/>
          <w:bCs/>
          <w:sz w:val="18"/>
          <w:szCs w:val="20"/>
          <w:lang w:eastAsia="ru-RU"/>
        </w:rPr>
        <w:t>ключевых</w:t>
      </w:r>
      <w:proofErr w:type="gramEnd"/>
    </w:p>
    <w:p w:rsidR="00585474" w:rsidRPr="00585474" w:rsidRDefault="00585474" w:rsidP="00585474">
      <w:pPr>
        <w:tabs>
          <w:tab w:val="left" w:pos="6237"/>
        </w:tabs>
        <w:spacing w:after="0" w:line="240" w:lineRule="auto"/>
        <w:ind w:left="5245" w:right="-1"/>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показателей эффективности</w:t>
      </w:r>
    </w:p>
    <w:p w:rsidR="00585474" w:rsidRPr="00585474" w:rsidRDefault="00585474" w:rsidP="00585474">
      <w:pPr>
        <w:tabs>
          <w:tab w:val="left" w:pos="6237"/>
        </w:tabs>
        <w:spacing w:after="0" w:line="240" w:lineRule="auto"/>
        <w:ind w:right="-1" w:firstLine="5245"/>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функционирования системы</w:t>
      </w:r>
    </w:p>
    <w:p w:rsidR="00585474" w:rsidRPr="00585474" w:rsidRDefault="00585474" w:rsidP="00585474">
      <w:pPr>
        <w:tabs>
          <w:tab w:val="left" w:pos="6237"/>
        </w:tabs>
        <w:spacing w:after="0" w:line="240" w:lineRule="auto"/>
        <w:ind w:right="-1" w:firstLine="5245"/>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внутреннего обеспечения</w:t>
      </w:r>
    </w:p>
    <w:p w:rsidR="00585474" w:rsidRPr="00585474" w:rsidRDefault="00585474" w:rsidP="00585474">
      <w:pPr>
        <w:tabs>
          <w:tab w:val="left" w:pos="6237"/>
        </w:tabs>
        <w:spacing w:after="0" w:line="240" w:lineRule="auto"/>
        <w:ind w:left="5245" w:right="-1"/>
        <w:jc w:val="right"/>
        <w:rPr>
          <w:rFonts w:ascii="Arial" w:eastAsia="Times New Roman" w:hAnsi="Arial" w:cs="Arial"/>
          <w:bCs/>
          <w:sz w:val="18"/>
          <w:szCs w:val="20"/>
          <w:lang w:eastAsia="ru-RU"/>
        </w:rPr>
      </w:pPr>
      <w:r w:rsidRPr="00585474">
        <w:rPr>
          <w:rFonts w:ascii="Arial" w:eastAsia="Times New Roman" w:hAnsi="Arial" w:cs="Arial"/>
          <w:bCs/>
          <w:sz w:val="18"/>
          <w:szCs w:val="20"/>
          <w:lang w:eastAsia="ru-RU"/>
        </w:rPr>
        <w:t>соответствия требованиям антимонопольного законодательства</w:t>
      </w:r>
    </w:p>
    <w:p w:rsidR="00585474" w:rsidRPr="00585474" w:rsidRDefault="00585474" w:rsidP="00585474">
      <w:pPr>
        <w:tabs>
          <w:tab w:val="left" w:pos="6237"/>
        </w:tabs>
        <w:spacing w:after="0" w:line="240" w:lineRule="auto"/>
        <w:ind w:left="5245" w:right="-1"/>
        <w:jc w:val="right"/>
        <w:rPr>
          <w:rFonts w:ascii="Arial" w:hAnsi="Arial" w:cs="Arial"/>
          <w:sz w:val="18"/>
          <w:szCs w:val="20"/>
          <w:lang w:eastAsia="ru-RU"/>
        </w:rPr>
      </w:pPr>
      <w:r w:rsidRPr="00585474">
        <w:rPr>
          <w:rFonts w:ascii="Arial" w:eastAsia="Times New Roman" w:hAnsi="Arial" w:cs="Arial"/>
          <w:bCs/>
          <w:sz w:val="18"/>
          <w:szCs w:val="20"/>
          <w:lang w:eastAsia="ru-RU"/>
        </w:rPr>
        <w:t xml:space="preserve">деятельности в администрации      </w:t>
      </w:r>
      <w:proofErr w:type="spellStart"/>
      <w:r w:rsidRPr="00585474">
        <w:rPr>
          <w:rFonts w:ascii="Arial" w:eastAsia="Times New Roman" w:hAnsi="Arial" w:cs="Arial"/>
          <w:bCs/>
          <w:sz w:val="18"/>
          <w:szCs w:val="20"/>
          <w:lang w:eastAsia="ru-RU"/>
        </w:rPr>
        <w:t>Богучанского</w:t>
      </w:r>
      <w:proofErr w:type="spellEnd"/>
      <w:r w:rsidRPr="00585474">
        <w:rPr>
          <w:rFonts w:ascii="Arial" w:eastAsia="Times New Roman" w:hAnsi="Arial" w:cs="Arial"/>
          <w:bCs/>
          <w:sz w:val="18"/>
          <w:szCs w:val="20"/>
          <w:lang w:eastAsia="ru-RU"/>
        </w:rPr>
        <w:t xml:space="preserve"> района»</w:t>
      </w:r>
    </w:p>
    <w:p w:rsidR="00585474" w:rsidRPr="00585474" w:rsidRDefault="00585474" w:rsidP="00585474">
      <w:pPr>
        <w:autoSpaceDE w:val="0"/>
        <w:autoSpaceDN w:val="0"/>
        <w:adjustRightInd w:val="0"/>
        <w:spacing w:after="0" w:line="240" w:lineRule="auto"/>
        <w:rPr>
          <w:rFonts w:ascii="Arial" w:hAnsi="Arial" w:cs="Arial"/>
          <w:color w:val="000000"/>
          <w:sz w:val="20"/>
          <w:szCs w:val="20"/>
        </w:rPr>
      </w:pPr>
      <w:r w:rsidRPr="00585474">
        <w:rPr>
          <w:rFonts w:ascii="Arial" w:hAnsi="Arial" w:cs="Arial"/>
          <w:bCs/>
          <w:color w:val="000000"/>
          <w:sz w:val="20"/>
          <w:szCs w:val="20"/>
        </w:rPr>
        <w:t xml:space="preserve">  </w:t>
      </w:r>
    </w:p>
    <w:p w:rsidR="00585474" w:rsidRPr="00585474" w:rsidRDefault="00585474" w:rsidP="00585474">
      <w:pPr>
        <w:autoSpaceDE w:val="0"/>
        <w:autoSpaceDN w:val="0"/>
        <w:adjustRightInd w:val="0"/>
        <w:spacing w:after="0" w:line="240" w:lineRule="auto"/>
        <w:jc w:val="center"/>
        <w:rPr>
          <w:rFonts w:ascii="Arial" w:hAnsi="Arial" w:cs="Arial"/>
          <w:color w:val="000000"/>
          <w:sz w:val="20"/>
          <w:szCs w:val="20"/>
        </w:rPr>
      </w:pPr>
      <w:r w:rsidRPr="00585474">
        <w:rPr>
          <w:rFonts w:ascii="Arial" w:hAnsi="Arial" w:cs="Arial"/>
          <w:bCs/>
          <w:color w:val="000000"/>
          <w:sz w:val="20"/>
          <w:szCs w:val="20"/>
        </w:rPr>
        <w:lastRenderedPageBreak/>
        <w:t>Перечень</w:t>
      </w:r>
      <w:r w:rsidRPr="00585474">
        <w:rPr>
          <w:rFonts w:ascii="Arial" w:hAnsi="Arial" w:cs="Arial"/>
          <w:color w:val="000000"/>
          <w:sz w:val="20"/>
          <w:szCs w:val="20"/>
        </w:rPr>
        <w:t xml:space="preserve"> </w:t>
      </w:r>
      <w:r w:rsidRPr="00585474">
        <w:rPr>
          <w:rFonts w:ascii="Arial" w:hAnsi="Arial" w:cs="Arial"/>
          <w:bCs/>
          <w:color w:val="000000"/>
          <w:sz w:val="20"/>
          <w:szCs w:val="20"/>
        </w:rPr>
        <w:t xml:space="preserve">ключевых </w:t>
      </w:r>
      <w:proofErr w:type="gramStart"/>
      <w:r w:rsidRPr="00585474">
        <w:rPr>
          <w:rFonts w:ascii="Arial" w:hAnsi="Arial" w:cs="Arial"/>
          <w:bCs/>
          <w:color w:val="000000"/>
          <w:sz w:val="20"/>
          <w:szCs w:val="20"/>
        </w:rPr>
        <w:t>показателей эффективности функционирования системы внутреннего обеспечения соответствия</w:t>
      </w:r>
      <w:proofErr w:type="gramEnd"/>
      <w:r w:rsidRPr="00585474">
        <w:rPr>
          <w:rFonts w:ascii="Arial" w:hAnsi="Arial" w:cs="Arial"/>
          <w:bCs/>
          <w:color w:val="000000"/>
          <w:sz w:val="20"/>
          <w:szCs w:val="20"/>
        </w:rPr>
        <w:t xml:space="preserve"> требованиям антимонопольного законодательства деятельности в администрации </w:t>
      </w:r>
      <w:proofErr w:type="spellStart"/>
      <w:r w:rsidRPr="00585474">
        <w:rPr>
          <w:rFonts w:ascii="Arial" w:hAnsi="Arial" w:cs="Arial"/>
          <w:bCs/>
          <w:color w:val="000000"/>
          <w:sz w:val="20"/>
          <w:szCs w:val="20"/>
        </w:rPr>
        <w:t>Богучанского</w:t>
      </w:r>
      <w:proofErr w:type="spellEnd"/>
      <w:r w:rsidRPr="00585474">
        <w:rPr>
          <w:rFonts w:ascii="Arial" w:hAnsi="Arial" w:cs="Arial"/>
          <w:bCs/>
          <w:color w:val="000000"/>
          <w:sz w:val="20"/>
          <w:szCs w:val="20"/>
        </w:rPr>
        <w:t xml:space="preserve"> района</w:t>
      </w:r>
    </w:p>
    <w:p w:rsidR="00585474" w:rsidRPr="00585474" w:rsidRDefault="00585474" w:rsidP="00585474">
      <w:pPr>
        <w:autoSpaceDE w:val="0"/>
        <w:autoSpaceDN w:val="0"/>
        <w:adjustRightInd w:val="0"/>
        <w:spacing w:after="0" w:line="240" w:lineRule="auto"/>
        <w:jc w:val="center"/>
        <w:rPr>
          <w:rFonts w:ascii="Arial" w:hAnsi="Arial" w:cs="Arial"/>
          <w:color w:val="000000"/>
          <w:sz w:val="20"/>
          <w:szCs w:val="20"/>
        </w:rPr>
      </w:pPr>
    </w:p>
    <w:p w:rsidR="00585474" w:rsidRPr="00585474" w:rsidRDefault="00585474" w:rsidP="00585474">
      <w:pPr>
        <w:autoSpaceDE w:val="0"/>
        <w:autoSpaceDN w:val="0"/>
        <w:adjustRightInd w:val="0"/>
        <w:spacing w:after="0" w:line="240" w:lineRule="auto"/>
        <w:jc w:val="center"/>
        <w:rPr>
          <w:rFonts w:ascii="Arial" w:hAnsi="Arial" w:cs="Arial"/>
          <w:color w:val="000000"/>
          <w:sz w:val="20"/>
          <w:szCs w:val="20"/>
        </w:rPr>
      </w:pPr>
      <w:r w:rsidRPr="00585474">
        <w:rPr>
          <w:rFonts w:ascii="Arial" w:hAnsi="Arial" w:cs="Arial"/>
          <w:bCs/>
          <w:color w:val="000000"/>
          <w:sz w:val="20"/>
          <w:szCs w:val="20"/>
        </w:rPr>
        <w:t>I. Общие положения</w:t>
      </w:r>
    </w:p>
    <w:p w:rsidR="00585474" w:rsidRPr="00585474" w:rsidRDefault="00585474" w:rsidP="00585474">
      <w:pPr>
        <w:autoSpaceDE w:val="0"/>
        <w:autoSpaceDN w:val="0"/>
        <w:adjustRightInd w:val="0"/>
        <w:spacing w:after="0" w:line="240" w:lineRule="auto"/>
        <w:ind w:firstLine="709"/>
        <w:jc w:val="both"/>
        <w:rPr>
          <w:rFonts w:ascii="Arial" w:hAnsi="Arial" w:cs="Arial"/>
          <w:color w:val="000000"/>
          <w:sz w:val="20"/>
          <w:szCs w:val="20"/>
        </w:rPr>
      </w:pPr>
      <w:r w:rsidRPr="00585474">
        <w:rPr>
          <w:rFonts w:ascii="Arial" w:hAnsi="Arial" w:cs="Arial"/>
          <w:color w:val="000000"/>
          <w:sz w:val="20"/>
          <w:szCs w:val="20"/>
        </w:rPr>
        <w:t xml:space="preserve">1.1. </w:t>
      </w:r>
      <w:proofErr w:type="gramStart"/>
      <w:r w:rsidRPr="00585474">
        <w:rPr>
          <w:rFonts w:ascii="Arial" w:hAnsi="Arial" w:cs="Arial"/>
          <w:color w:val="000000"/>
          <w:sz w:val="20"/>
          <w:szCs w:val="20"/>
        </w:rPr>
        <w:t xml:space="preserve">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w:t>
      </w:r>
      <w:proofErr w:type="spellStart"/>
      <w:r w:rsidRPr="00585474">
        <w:rPr>
          <w:rFonts w:ascii="Arial" w:hAnsi="Arial" w:cs="Arial"/>
          <w:color w:val="000000"/>
          <w:sz w:val="20"/>
          <w:szCs w:val="20"/>
        </w:rPr>
        <w:t>Богучанского</w:t>
      </w:r>
      <w:proofErr w:type="spellEnd"/>
      <w:r w:rsidRPr="00585474">
        <w:rPr>
          <w:rFonts w:ascii="Arial" w:hAnsi="Arial" w:cs="Arial"/>
          <w:color w:val="000000"/>
          <w:sz w:val="20"/>
          <w:szCs w:val="20"/>
        </w:rPr>
        <w:t xml:space="preserve"> района и методика их расчета (далее – перечень КПЭ с методикой) разработаны с учетом приказа ФАС России от 5 февраля 2019 года № 133/19 «Об утверждении методики расчета ключевых показателей эффективности функционирования в федеральном органе исполнительной власти антимонопольного </w:t>
      </w:r>
      <w:proofErr w:type="spellStart"/>
      <w:r w:rsidRPr="00585474">
        <w:rPr>
          <w:rFonts w:ascii="Arial" w:hAnsi="Arial" w:cs="Arial"/>
          <w:color w:val="000000"/>
          <w:sz w:val="20"/>
          <w:szCs w:val="20"/>
        </w:rPr>
        <w:t>комплаенса</w:t>
      </w:r>
      <w:proofErr w:type="spellEnd"/>
      <w:r w:rsidRPr="00585474">
        <w:rPr>
          <w:rFonts w:ascii="Arial" w:hAnsi="Arial" w:cs="Arial"/>
          <w:color w:val="000000"/>
          <w:sz w:val="20"/>
          <w:szCs w:val="20"/>
        </w:rPr>
        <w:t xml:space="preserve">» в целях оценки эффективности функционирования антимонопольного </w:t>
      </w:r>
      <w:proofErr w:type="spellStart"/>
      <w:r w:rsidRPr="00585474">
        <w:rPr>
          <w:rFonts w:ascii="Arial" w:hAnsi="Arial" w:cs="Arial"/>
          <w:color w:val="000000"/>
          <w:sz w:val="20"/>
          <w:szCs w:val="20"/>
        </w:rPr>
        <w:t>комплаенса</w:t>
      </w:r>
      <w:proofErr w:type="spellEnd"/>
      <w:proofErr w:type="gramEnd"/>
      <w:r w:rsidRPr="00585474">
        <w:rPr>
          <w:rFonts w:ascii="Arial" w:hAnsi="Arial" w:cs="Arial"/>
          <w:color w:val="000000"/>
          <w:sz w:val="20"/>
          <w:szCs w:val="20"/>
        </w:rPr>
        <w:t xml:space="preserve"> в администрации </w:t>
      </w:r>
      <w:proofErr w:type="spellStart"/>
      <w:r w:rsidRPr="00585474">
        <w:rPr>
          <w:rFonts w:ascii="Arial" w:hAnsi="Arial" w:cs="Arial"/>
          <w:color w:val="000000"/>
          <w:sz w:val="20"/>
          <w:szCs w:val="20"/>
        </w:rPr>
        <w:t>Богучанского</w:t>
      </w:r>
      <w:proofErr w:type="spellEnd"/>
      <w:r w:rsidRPr="00585474">
        <w:rPr>
          <w:rFonts w:ascii="Arial" w:hAnsi="Arial" w:cs="Arial"/>
          <w:color w:val="000000"/>
          <w:sz w:val="20"/>
          <w:szCs w:val="20"/>
        </w:rPr>
        <w:t xml:space="preserve"> района (далее – администрация района). </w:t>
      </w:r>
    </w:p>
    <w:p w:rsidR="00585474" w:rsidRPr="00585474" w:rsidRDefault="00585474" w:rsidP="00585474">
      <w:pPr>
        <w:spacing w:after="0" w:line="240" w:lineRule="auto"/>
        <w:ind w:firstLine="709"/>
        <w:jc w:val="both"/>
        <w:rPr>
          <w:rFonts w:ascii="Arial" w:eastAsia="Times New Roman" w:hAnsi="Arial" w:cs="Arial"/>
          <w:sz w:val="20"/>
          <w:szCs w:val="20"/>
          <w:lang w:eastAsia="ru-RU"/>
        </w:rPr>
      </w:pPr>
      <w:r w:rsidRPr="00585474">
        <w:rPr>
          <w:rFonts w:ascii="Arial" w:eastAsia="Times New Roman" w:hAnsi="Arial" w:cs="Arial"/>
          <w:sz w:val="20"/>
          <w:szCs w:val="20"/>
          <w:lang w:eastAsia="ru-RU"/>
        </w:rPr>
        <w:t xml:space="preserve">1.2. Понятия «антимонопольное законодательство», «антимонопольный </w:t>
      </w:r>
      <w:proofErr w:type="spellStart"/>
      <w:r w:rsidRPr="00585474">
        <w:rPr>
          <w:rFonts w:ascii="Arial" w:eastAsia="Times New Roman" w:hAnsi="Arial" w:cs="Arial"/>
          <w:sz w:val="20"/>
          <w:szCs w:val="20"/>
          <w:lang w:eastAsia="ru-RU"/>
        </w:rPr>
        <w:t>комплаенс</w:t>
      </w:r>
      <w:proofErr w:type="spellEnd"/>
      <w:r w:rsidRPr="00585474">
        <w:rPr>
          <w:rFonts w:ascii="Arial" w:eastAsia="Times New Roman" w:hAnsi="Arial" w:cs="Arial"/>
          <w:sz w:val="20"/>
          <w:szCs w:val="20"/>
          <w:lang w:eastAsia="ru-RU"/>
        </w:rPr>
        <w:t xml:space="preserve">», «доклад об антимонопольном </w:t>
      </w:r>
      <w:proofErr w:type="spellStart"/>
      <w:r w:rsidRPr="00585474">
        <w:rPr>
          <w:rFonts w:ascii="Arial" w:eastAsia="Times New Roman" w:hAnsi="Arial" w:cs="Arial"/>
          <w:sz w:val="20"/>
          <w:szCs w:val="20"/>
          <w:lang w:eastAsia="ru-RU"/>
        </w:rPr>
        <w:t>комплаенсе</w:t>
      </w:r>
      <w:proofErr w:type="spellEnd"/>
      <w:r w:rsidRPr="00585474">
        <w:rPr>
          <w:rFonts w:ascii="Arial" w:eastAsia="Times New Roman" w:hAnsi="Arial" w:cs="Arial"/>
          <w:sz w:val="20"/>
          <w:szCs w:val="20"/>
          <w:lang w:eastAsia="ru-RU"/>
        </w:rPr>
        <w:t>», «коллегиальный орган», «нарушение антимонопольного законодательства», «риски нарушения антимонопольного законодательства» («</w:t>
      </w:r>
      <w:proofErr w:type="spellStart"/>
      <w:r w:rsidRPr="00585474">
        <w:rPr>
          <w:rFonts w:ascii="Arial" w:eastAsia="Times New Roman" w:hAnsi="Arial" w:cs="Arial"/>
          <w:sz w:val="20"/>
          <w:szCs w:val="20"/>
          <w:lang w:eastAsia="ru-RU"/>
        </w:rPr>
        <w:t>комплаенс-риски</w:t>
      </w:r>
      <w:proofErr w:type="spellEnd"/>
      <w:r w:rsidRPr="00585474">
        <w:rPr>
          <w:rFonts w:ascii="Arial" w:eastAsia="Times New Roman" w:hAnsi="Arial" w:cs="Arial"/>
          <w:sz w:val="20"/>
          <w:szCs w:val="20"/>
          <w:lang w:eastAsia="ru-RU"/>
        </w:rPr>
        <w:t xml:space="preserve">»), «уполномоченное подразделение (должностное лицо)» употреблены в настоящих методических рекомендациях в значении определенном пунктом 1.2 положения об организации системы внутреннего обеспечения соответствия требованиям антимонопольного законодательства (антимонопольный </w:t>
      </w:r>
      <w:proofErr w:type="spellStart"/>
      <w:r w:rsidRPr="00585474">
        <w:rPr>
          <w:rFonts w:ascii="Arial" w:eastAsia="Times New Roman" w:hAnsi="Arial" w:cs="Arial"/>
          <w:sz w:val="20"/>
          <w:szCs w:val="20"/>
          <w:lang w:eastAsia="ru-RU"/>
        </w:rPr>
        <w:t>комплаенс</w:t>
      </w:r>
      <w:proofErr w:type="spellEnd"/>
      <w:r w:rsidRPr="00585474">
        <w:rPr>
          <w:rFonts w:ascii="Arial" w:eastAsia="Times New Roman" w:hAnsi="Arial" w:cs="Arial"/>
          <w:sz w:val="20"/>
          <w:szCs w:val="20"/>
          <w:lang w:eastAsia="ru-RU"/>
        </w:rPr>
        <w:t>) в администрации муниципального образования «</w:t>
      </w:r>
      <w:proofErr w:type="spellStart"/>
      <w:r w:rsidRPr="00585474">
        <w:rPr>
          <w:rFonts w:ascii="Arial" w:eastAsia="Times New Roman" w:hAnsi="Arial" w:cs="Arial"/>
          <w:sz w:val="20"/>
          <w:szCs w:val="20"/>
          <w:lang w:eastAsia="ru-RU"/>
        </w:rPr>
        <w:t>Богучанский</w:t>
      </w:r>
      <w:proofErr w:type="spellEnd"/>
      <w:r w:rsidRPr="00585474">
        <w:rPr>
          <w:rFonts w:ascii="Arial" w:eastAsia="Times New Roman" w:hAnsi="Arial" w:cs="Arial"/>
          <w:sz w:val="20"/>
          <w:szCs w:val="20"/>
          <w:lang w:eastAsia="ru-RU"/>
        </w:rPr>
        <w:t xml:space="preserve"> район», утвержденного постановлением администрации </w:t>
      </w:r>
      <w:proofErr w:type="spellStart"/>
      <w:r w:rsidRPr="00585474">
        <w:rPr>
          <w:rFonts w:ascii="Arial" w:eastAsia="Times New Roman" w:hAnsi="Arial" w:cs="Arial"/>
          <w:sz w:val="20"/>
          <w:szCs w:val="20"/>
          <w:lang w:eastAsia="ru-RU"/>
        </w:rPr>
        <w:t>Богучанского</w:t>
      </w:r>
      <w:proofErr w:type="spellEnd"/>
      <w:r w:rsidRPr="00585474">
        <w:rPr>
          <w:rFonts w:ascii="Arial" w:eastAsia="Times New Roman" w:hAnsi="Arial" w:cs="Arial"/>
          <w:sz w:val="20"/>
          <w:szCs w:val="20"/>
          <w:lang w:eastAsia="ru-RU"/>
        </w:rPr>
        <w:t xml:space="preserve"> района от      2020 года №  </w:t>
      </w:r>
      <w:proofErr w:type="gramStart"/>
      <w:r w:rsidRPr="00585474">
        <w:rPr>
          <w:rFonts w:ascii="Arial" w:eastAsia="Times New Roman" w:hAnsi="Arial" w:cs="Arial"/>
          <w:sz w:val="20"/>
          <w:szCs w:val="20"/>
          <w:lang w:eastAsia="ru-RU"/>
        </w:rPr>
        <w:t>-</w:t>
      </w:r>
      <w:proofErr w:type="spellStart"/>
      <w:r w:rsidRPr="00585474">
        <w:rPr>
          <w:rFonts w:ascii="Arial" w:eastAsia="Times New Roman" w:hAnsi="Arial" w:cs="Arial"/>
          <w:sz w:val="20"/>
          <w:szCs w:val="20"/>
          <w:lang w:eastAsia="ru-RU"/>
        </w:rPr>
        <w:t>п</w:t>
      </w:r>
      <w:proofErr w:type="spellEnd"/>
      <w:proofErr w:type="gramEnd"/>
      <w:r w:rsidRPr="00585474">
        <w:rPr>
          <w:rFonts w:ascii="Arial" w:eastAsia="Times New Roman" w:hAnsi="Arial" w:cs="Arial"/>
          <w:sz w:val="20"/>
          <w:szCs w:val="20"/>
          <w:lang w:eastAsia="ru-RU"/>
        </w:rPr>
        <w:t xml:space="preserve"> (далее – положение об </w:t>
      </w:r>
      <w:proofErr w:type="gramStart"/>
      <w:r w:rsidRPr="00585474">
        <w:rPr>
          <w:rFonts w:ascii="Arial" w:eastAsia="Times New Roman" w:hAnsi="Arial" w:cs="Arial"/>
          <w:sz w:val="20"/>
          <w:szCs w:val="20"/>
          <w:lang w:eastAsia="ru-RU"/>
        </w:rPr>
        <w:t>антимонопольном</w:t>
      </w:r>
      <w:proofErr w:type="gramEnd"/>
      <w:r w:rsidRPr="00585474">
        <w:rPr>
          <w:rFonts w:ascii="Arial" w:eastAsia="Times New Roman" w:hAnsi="Arial" w:cs="Arial"/>
          <w:sz w:val="20"/>
          <w:szCs w:val="20"/>
          <w:lang w:eastAsia="ru-RU"/>
        </w:rPr>
        <w:t xml:space="preserve"> </w:t>
      </w:r>
      <w:proofErr w:type="spellStart"/>
      <w:r w:rsidRPr="00585474">
        <w:rPr>
          <w:rFonts w:ascii="Arial" w:eastAsia="Times New Roman" w:hAnsi="Arial" w:cs="Arial"/>
          <w:sz w:val="20"/>
          <w:szCs w:val="20"/>
          <w:lang w:eastAsia="ru-RU"/>
        </w:rPr>
        <w:t>комплаенсе</w:t>
      </w:r>
      <w:proofErr w:type="spellEnd"/>
      <w:r w:rsidRPr="00585474">
        <w:rPr>
          <w:rFonts w:ascii="Arial" w:eastAsia="Times New Roman" w:hAnsi="Arial" w:cs="Arial"/>
          <w:sz w:val="20"/>
          <w:szCs w:val="20"/>
          <w:lang w:eastAsia="ru-RU"/>
        </w:rPr>
        <w:t xml:space="preserve">). </w:t>
      </w:r>
    </w:p>
    <w:p w:rsidR="00585474" w:rsidRPr="00585474" w:rsidRDefault="00585474" w:rsidP="00585474">
      <w:pPr>
        <w:autoSpaceDE w:val="0"/>
        <w:autoSpaceDN w:val="0"/>
        <w:adjustRightInd w:val="0"/>
        <w:spacing w:after="0" w:line="240" w:lineRule="auto"/>
        <w:ind w:firstLine="709"/>
        <w:jc w:val="both"/>
        <w:rPr>
          <w:rFonts w:ascii="Arial" w:hAnsi="Arial" w:cs="Arial"/>
          <w:color w:val="000000"/>
          <w:sz w:val="20"/>
          <w:szCs w:val="20"/>
        </w:rPr>
      </w:pPr>
      <w:r w:rsidRPr="00585474">
        <w:rPr>
          <w:rFonts w:ascii="Arial" w:hAnsi="Arial" w:cs="Arial"/>
          <w:color w:val="000000"/>
          <w:sz w:val="20"/>
          <w:szCs w:val="20"/>
        </w:rPr>
        <w:t xml:space="preserve">1.3.Ключевые показатели эффективности функционирования антимонопольного </w:t>
      </w:r>
      <w:proofErr w:type="spellStart"/>
      <w:r w:rsidRPr="00585474">
        <w:rPr>
          <w:rFonts w:ascii="Arial" w:hAnsi="Arial" w:cs="Arial"/>
          <w:color w:val="000000"/>
          <w:sz w:val="20"/>
          <w:szCs w:val="20"/>
        </w:rPr>
        <w:t>комплаенса</w:t>
      </w:r>
      <w:proofErr w:type="spellEnd"/>
      <w:r w:rsidRPr="00585474">
        <w:rPr>
          <w:rFonts w:ascii="Arial" w:hAnsi="Arial" w:cs="Arial"/>
          <w:color w:val="000000"/>
          <w:sz w:val="20"/>
          <w:szCs w:val="20"/>
        </w:rPr>
        <w:t xml:space="preserve"> (далее – КПЭ) представляют собой количественные характеристики системы управления </w:t>
      </w:r>
      <w:proofErr w:type="spellStart"/>
      <w:r w:rsidRPr="00585474">
        <w:rPr>
          <w:rFonts w:ascii="Arial" w:hAnsi="Arial" w:cs="Arial"/>
          <w:color w:val="000000"/>
          <w:sz w:val="20"/>
          <w:szCs w:val="20"/>
        </w:rPr>
        <w:t>комплаенс-рисками</w:t>
      </w:r>
      <w:proofErr w:type="spellEnd"/>
      <w:r w:rsidRPr="00585474">
        <w:rPr>
          <w:rFonts w:ascii="Arial" w:hAnsi="Arial" w:cs="Arial"/>
          <w:color w:val="000000"/>
          <w:sz w:val="20"/>
          <w:szCs w:val="20"/>
        </w:rPr>
        <w:t xml:space="preserve">, которые рассчитываются как для администрации района в целом, так и для уполномоченного подразделения (должностного лица) администрации района.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1.4.Перечень КПЭ администрации района на отчетный год разрабатывается уполномоченным подразделением (должностным лицом) администрации района и утверждается Главой </w:t>
      </w:r>
      <w:proofErr w:type="spellStart"/>
      <w:r w:rsidRPr="00585474">
        <w:rPr>
          <w:rFonts w:ascii="Arial" w:hAnsi="Arial" w:cs="Arial"/>
          <w:sz w:val="20"/>
          <w:szCs w:val="20"/>
        </w:rPr>
        <w:t>Богучанского</w:t>
      </w:r>
      <w:proofErr w:type="spellEnd"/>
      <w:r w:rsidRPr="00585474">
        <w:rPr>
          <w:rFonts w:ascii="Arial" w:hAnsi="Arial" w:cs="Arial"/>
          <w:sz w:val="20"/>
          <w:szCs w:val="20"/>
        </w:rPr>
        <w:t xml:space="preserve"> района (далее Глава района) до 1 мая отчетного года (пункт 41 положения об </w:t>
      </w:r>
      <w:proofErr w:type="gramStart"/>
      <w:r w:rsidRPr="00585474">
        <w:rPr>
          <w:rFonts w:ascii="Arial" w:hAnsi="Arial" w:cs="Arial"/>
          <w:sz w:val="20"/>
          <w:szCs w:val="20"/>
        </w:rPr>
        <w:t>антимонопольном</w:t>
      </w:r>
      <w:proofErr w:type="gramEnd"/>
      <w:r w:rsidRPr="00585474">
        <w:rPr>
          <w:rFonts w:ascii="Arial" w:hAnsi="Arial" w:cs="Arial"/>
          <w:sz w:val="20"/>
          <w:szCs w:val="20"/>
        </w:rPr>
        <w:t xml:space="preserve"> </w:t>
      </w:r>
      <w:proofErr w:type="spellStart"/>
      <w:r w:rsidRPr="00585474">
        <w:rPr>
          <w:rFonts w:ascii="Arial" w:hAnsi="Arial" w:cs="Arial"/>
          <w:sz w:val="20"/>
          <w:szCs w:val="20"/>
        </w:rPr>
        <w:t>комплаенсе</w:t>
      </w:r>
      <w:proofErr w:type="spellEnd"/>
      <w:r w:rsidRPr="00585474">
        <w:rPr>
          <w:rFonts w:ascii="Arial" w:hAnsi="Arial" w:cs="Arial"/>
          <w:sz w:val="20"/>
          <w:szCs w:val="20"/>
        </w:rPr>
        <w:t xml:space="preserve">) с учетом настоящего перечня КПЭ с методикой.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1.5. Уполномоченное подразделение (должностное лицо) администрации района ежегодно проводит оценку КПЭ за отчетный год до 1 февраля года, следующего за </w:t>
      </w:r>
      <w:proofErr w:type="gramStart"/>
      <w:r w:rsidRPr="00585474">
        <w:rPr>
          <w:rFonts w:ascii="Arial" w:hAnsi="Arial" w:cs="Arial"/>
          <w:sz w:val="20"/>
          <w:szCs w:val="20"/>
        </w:rPr>
        <w:t>отчетным</w:t>
      </w:r>
      <w:proofErr w:type="gramEnd"/>
      <w:r w:rsidRPr="00585474">
        <w:rPr>
          <w:rFonts w:ascii="Arial" w:hAnsi="Arial" w:cs="Arial"/>
          <w:sz w:val="20"/>
          <w:szCs w:val="20"/>
        </w:rPr>
        <w:t xml:space="preserve">, согласно пункту 42 положения об антимонопольном </w:t>
      </w:r>
      <w:proofErr w:type="spellStart"/>
      <w:r w:rsidRPr="00585474">
        <w:rPr>
          <w:rFonts w:ascii="Arial" w:hAnsi="Arial" w:cs="Arial"/>
          <w:sz w:val="20"/>
          <w:szCs w:val="20"/>
        </w:rPr>
        <w:t>комплаенсе</w:t>
      </w:r>
      <w:proofErr w:type="spellEnd"/>
      <w:r w:rsidRPr="00585474">
        <w:rPr>
          <w:rFonts w:ascii="Arial" w:hAnsi="Arial" w:cs="Arial"/>
          <w:sz w:val="20"/>
          <w:szCs w:val="20"/>
        </w:rPr>
        <w:t xml:space="preserve">.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1.6. Информация о КПЭ включается в доклад об антимонопольном </w:t>
      </w:r>
      <w:proofErr w:type="spellStart"/>
      <w:r w:rsidRPr="00585474">
        <w:rPr>
          <w:rFonts w:ascii="Arial" w:hAnsi="Arial" w:cs="Arial"/>
          <w:sz w:val="20"/>
          <w:szCs w:val="20"/>
        </w:rPr>
        <w:t>комплаенсе</w:t>
      </w:r>
      <w:proofErr w:type="spellEnd"/>
      <w:r w:rsidRPr="00585474">
        <w:rPr>
          <w:rFonts w:ascii="Arial" w:hAnsi="Arial" w:cs="Arial"/>
          <w:sz w:val="20"/>
          <w:szCs w:val="20"/>
        </w:rPr>
        <w:t xml:space="preserve">, который утверждается коллегиальным органом,  до 1 марта года, следующего за отчетным, размещается на официальном сайте администрации </w:t>
      </w:r>
      <w:proofErr w:type="spellStart"/>
      <w:r w:rsidRPr="00585474">
        <w:rPr>
          <w:rFonts w:ascii="Arial" w:hAnsi="Arial" w:cs="Arial"/>
          <w:sz w:val="20"/>
          <w:szCs w:val="20"/>
        </w:rPr>
        <w:t>Богучанского</w:t>
      </w:r>
      <w:proofErr w:type="spellEnd"/>
      <w:r w:rsidRPr="00585474">
        <w:rPr>
          <w:rFonts w:ascii="Arial" w:hAnsi="Arial" w:cs="Arial"/>
          <w:sz w:val="20"/>
          <w:szCs w:val="20"/>
        </w:rPr>
        <w:t xml:space="preserve"> района в разделе «Антимонопольный </w:t>
      </w:r>
      <w:proofErr w:type="spellStart"/>
      <w:r w:rsidRPr="00585474">
        <w:rPr>
          <w:rFonts w:ascii="Arial" w:hAnsi="Arial" w:cs="Arial"/>
          <w:sz w:val="20"/>
          <w:szCs w:val="20"/>
        </w:rPr>
        <w:t>комплаенс</w:t>
      </w:r>
      <w:proofErr w:type="spellEnd"/>
      <w:r w:rsidRPr="00585474">
        <w:rPr>
          <w:rFonts w:ascii="Arial" w:hAnsi="Arial" w:cs="Arial"/>
          <w:sz w:val="20"/>
          <w:szCs w:val="20"/>
        </w:rPr>
        <w:t xml:space="preserve">» (пункт 48     положения </w:t>
      </w:r>
      <w:proofErr w:type="gramStart"/>
      <w:r w:rsidRPr="00585474">
        <w:rPr>
          <w:rFonts w:ascii="Arial" w:hAnsi="Arial" w:cs="Arial"/>
          <w:sz w:val="20"/>
          <w:szCs w:val="20"/>
        </w:rPr>
        <w:t>об</w:t>
      </w:r>
      <w:proofErr w:type="gramEnd"/>
      <w:r w:rsidRPr="00585474">
        <w:rPr>
          <w:rFonts w:ascii="Arial" w:hAnsi="Arial" w:cs="Arial"/>
          <w:sz w:val="20"/>
          <w:szCs w:val="20"/>
        </w:rPr>
        <w:t xml:space="preserve"> антимонопольном </w:t>
      </w:r>
      <w:proofErr w:type="spellStart"/>
      <w:r w:rsidRPr="00585474">
        <w:rPr>
          <w:rFonts w:ascii="Arial" w:hAnsi="Arial" w:cs="Arial"/>
          <w:sz w:val="20"/>
          <w:szCs w:val="20"/>
        </w:rPr>
        <w:t>комплаенсе</w:t>
      </w:r>
      <w:proofErr w:type="spellEnd"/>
      <w:r w:rsidRPr="00585474">
        <w:rPr>
          <w:rFonts w:ascii="Arial" w:hAnsi="Arial" w:cs="Arial"/>
          <w:sz w:val="20"/>
          <w:szCs w:val="20"/>
        </w:rPr>
        <w:t xml:space="preserve">). </w:t>
      </w:r>
    </w:p>
    <w:p w:rsidR="00585474" w:rsidRPr="00585474" w:rsidRDefault="00585474" w:rsidP="00585474">
      <w:pPr>
        <w:autoSpaceDE w:val="0"/>
        <w:autoSpaceDN w:val="0"/>
        <w:adjustRightInd w:val="0"/>
        <w:spacing w:after="0" w:line="240" w:lineRule="auto"/>
        <w:jc w:val="both"/>
        <w:rPr>
          <w:rFonts w:ascii="Arial" w:hAnsi="Arial" w:cs="Arial"/>
          <w:sz w:val="20"/>
          <w:szCs w:val="20"/>
        </w:rPr>
      </w:pPr>
    </w:p>
    <w:p w:rsidR="00585474" w:rsidRPr="00585474" w:rsidRDefault="00585474" w:rsidP="00585474">
      <w:pPr>
        <w:autoSpaceDE w:val="0"/>
        <w:autoSpaceDN w:val="0"/>
        <w:adjustRightInd w:val="0"/>
        <w:spacing w:after="0" w:line="240" w:lineRule="auto"/>
        <w:jc w:val="center"/>
        <w:rPr>
          <w:rFonts w:ascii="Arial" w:hAnsi="Arial" w:cs="Arial"/>
          <w:sz w:val="20"/>
          <w:szCs w:val="20"/>
        </w:rPr>
      </w:pPr>
      <w:r w:rsidRPr="00585474">
        <w:rPr>
          <w:rFonts w:ascii="Arial" w:hAnsi="Arial" w:cs="Arial"/>
          <w:bCs/>
          <w:sz w:val="20"/>
          <w:szCs w:val="20"/>
        </w:rPr>
        <w:t>II. Перечень и методика расчета КПЭ для администрации района в целом</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2.1. КПЭ для администрации района в целом являются: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а) коэффициент динамики количества нарушений антимонопольного законодательства, допущенных администрацией района в отчетном году по сравнению с 2017 годом;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б)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в)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2.2. Коэффициент динамики количества нарушений антимонопольного законодательства, допущенных администрацией района в отчетном году по сравнению с 2017 годом (единиц), рассчитывается по формуле: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КДН = </w:t>
      </w:r>
      <w:proofErr w:type="spellStart"/>
      <w:r w:rsidRPr="00585474">
        <w:rPr>
          <w:rFonts w:ascii="Arial" w:hAnsi="Arial" w:cs="Arial"/>
          <w:sz w:val="20"/>
          <w:szCs w:val="20"/>
        </w:rPr>
        <w:t>КНог</w:t>
      </w:r>
      <w:proofErr w:type="spellEnd"/>
      <w:r w:rsidRPr="00585474">
        <w:rPr>
          <w:rFonts w:ascii="Arial" w:hAnsi="Arial" w:cs="Arial"/>
          <w:sz w:val="20"/>
          <w:szCs w:val="20"/>
        </w:rPr>
        <w:t xml:space="preserve"> КН2017</w:t>
      </w:r>
      <w:r w:rsidRPr="00585474">
        <w:rPr>
          <w:rFonts w:ascii="Arial" w:hAnsi="Arial" w:cs="Arial"/>
          <w:i/>
          <w:iCs/>
          <w:sz w:val="20"/>
          <w:szCs w:val="20"/>
        </w:rPr>
        <w:t xml:space="preserve">, </w:t>
      </w:r>
      <w:r w:rsidRPr="00585474">
        <w:rPr>
          <w:rFonts w:ascii="Arial" w:hAnsi="Arial" w:cs="Arial"/>
          <w:sz w:val="20"/>
          <w:szCs w:val="20"/>
        </w:rPr>
        <w:t xml:space="preserve">где КДН – коэффициент динамики количества нарушений антимонопольного законодательства, допущенных администрацией района, по сравнению с 2017 годом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КНог</w:t>
      </w:r>
      <w:proofErr w:type="spellEnd"/>
      <w:r w:rsidRPr="00585474">
        <w:rPr>
          <w:rFonts w:ascii="Arial" w:hAnsi="Arial" w:cs="Arial"/>
          <w:sz w:val="20"/>
          <w:szCs w:val="20"/>
        </w:rPr>
        <w:t xml:space="preserve"> – количество нарушений антимонопольного законодательства, допущенных в отчетном году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КН2017 – количество нарушений антимонопольного законодательства, допущенных администрацией района в 2017 году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При расчете коэффициента динамики количества нарушений антимонопольного законодательства, допущенных администрацией района по сравнению с 2017 годом, под нарушением антимонопольного законодательства, допущенным администрацией района, понимаются: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lastRenderedPageBreak/>
        <w:t xml:space="preserve">- возбужденные ФАС России и его территориальными органами (далее - антимонопольный орган) в отношении администрации района антимонопольные дела;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 выданные антимонопольным органом администрации района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 направленные антимонопольным органом администрации района предостережения о недопустимости совершения действий, которые могут привести к нарушению антимонопольного законодательства.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2.3.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рассчитывается по формуле: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Кнпа</w:t>
      </w:r>
      <w:proofErr w:type="spellEnd"/>
      <w:r w:rsidRPr="00585474">
        <w:rPr>
          <w:rFonts w:ascii="Arial" w:hAnsi="Arial" w:cs="Arial"/>
          <w:sz w:val="20"/>
          <w:szCs w:val="20"/>
        </w:rPr>
        <w:t xml:space="preserve"> = </w:t>
      </w:r>
      <w:proofErr w:type="spellStart"/>
      <w:r w:rsidRPr="00585474">
        <w:rPr>
          <w:rFonts w:ascii="Arial" w:hAnsi="Arial" w:cs="Arial"/>
          <w:sz w:val="20"/>
          <w:szCs w:val="20"/>
        </w:rPr>
        <w:t>КРнпа</w:t>
      </w:r>
      <w:proofErr w:type="spellEnd"/>
      <w:r w:rsidRPr="00585474">
        <w:rPr>
          <w:rFonts w:ascii="Arial" w:hAnsi="Arial" w:cs="Arial"/>
          <w:sz w:val="20"/>
          <w:szCs w:val="20"/>
        </w:rPr>
        <w:t xml:space="preserve"> </w:t>
      </w:r>
      <w:proofErr w:type="spellStart"/>
      <w:r w:rsidRPr="00585474">
        <w:rPr>
          <w:rFonts w:ascii="Arial" w:hAnsi="Arial" w:cs="Arial"/>
          <w:sz w:val="20"/>
          <w:szCs w:val="20"/>
        </w:rPr>
        <w:t>КНнпа</w:t>
      </w:r>
      <w:proofErr w:type="spellEnd"/>
      <w:r w:rsidRPr="00585474">
        <w:rPr>
          <w:rFonts w:ascii="Arial" w:hAnsi="Arial" w:cs="Arial"/>
          <w:sz w:val="20"/>
          <w:szCs w:val="20"/>
        </w:rPr>
        <w:t xml:space="preserve">, где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Кнпа</w:t>
      </w:r>
      <w:proofErr w:type="spellEnd"/>
      <w:r w:rsidRPr="00585474">
        <w:rPr>
          <w:rFonts w:ascii="Arial" w:hAnsi="Arial" w:cs="Arial"/>
          <w:sz w:val="20"/>
          <w:szCs w:val="20"/>
        </w:rPr>
        <w:t xml:space="preserve"> –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КРнпа</w:t>
      </w:r>
      <w:proofErr w:type="spellEnd"/>
      <w:r w:rsidRPr="00585474">
        <w:rPr>
          <w:rFonts w:ascii="Arial" w:hAnsi="Arial" w:cs="Arial"/>
          <w:sz w:val="20"/>
          <w:szCs w:val="20"/>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КНнпа</w:t>
      </w:r>
      <w:proofErr w:type="spellEnd"/>
      <w:r w:rsidRPr="00585474">
        <w:rPr>
          <w:rFonts w:ascii="Arial" w:hAnsi="Arial" w:cs="Arial"/>
          <w:sz w:val="20"/>
          <w:szCs w:val="20"/>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2.4.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рассчитывается по формуле: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Кпнпа</w:t>
      </w:r>
      <w:proofErr w:type="spellEnd"/>
      <w:r w:rsidRPr="00585474">
        <w:rPr>
          <w:rFonts w:ascii="Arial" w:hAnsi="Arial" w:cs="Arial"/>
          <w:sz w:val="20"/>
          <w:szCs w:val="20"/>
        </w:rPr>
        <w:t xml:space="preserve"> = </w:t>
      </w:r>
      <w:proofErr w:type="spellStart"/>
      <w:r w:rsidRPr="00585474">
        <w:rPr>
          <w:rFonts w:ascii="Arial" w:hAnsi="Arial" w:cs="Arial"/>
          <w:sz w:val="20"/>
          <w:szCs w:val="20"/>
        </w:rPr>
        <w:t>КРпнпа</w:t>
      </w:r>
      <w:proofErr w:type="spellEnd"/>
      <w:r w:rsidRPr="00585474">
        <w:rPr>
          <w:rFonts w:ascii="Arial" w:hAnsi="Arial" w:cs="Arial"/>
          <w:sz w:val="20"/>
          <w:szCs w:val="20"/>
        </w:rPr>
        <w:t xml:space="preserve"> </w:t>
      </w:r>
      <w:proofErr w:type="spellStart"/>
      <w:r w:rsidRPr="00585474">
        <w:rPr>
          <w:rFonts w:ascii="Arial" w:hAnsi="Arial" w:cs="Arial"/>
          <w:sz w:val="20"/>
          <w:szCs w:val="20"/>
        </w:rPr>
        <w:t>КНпнпа</w:t>
      </w:r>
      <w:proofErr w:type="spellEnd"/>
      <w:r w:rsidRPr="00585474">
        <w:rPr>
          <w:rFonts w:ascii="Arial" w:hAnsi="Arial" w:cs="Arial"/>
          <w:sz w:val="20"/>
          <w:szCs w:val="20"/>
        </w:rPr>
        <w:t xml:space="preserve">, где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Кпнпа</w:t>
      </w:r>
      <w:proofErr w:type="spellEnd"/>
      <w:r w:rsidRPr="00585474">
        <w:rPr>
          <w:rFonts w:ascii="Arial" w:hAnsi="Arial" w:cs="Arial"/>
          <w:sz w:val="20"/>
          <w:szCs w:val="20"/>
        </w:rPr>
        <w:t xml:space="preserve"> –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КРпнпа</w:t>
      </w:r>
      <w:proofErr w:type="spellEnd"/>
      <w:r w:rsidRPr="00585474">
        <w:rPr>
          <w:rFonts w:ascii="Arial" w:hAnsi="Arial" w:cs="Arial"/>
          <w:sz w:val="20"/>
          <w:szCs w:val="20"/>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r w:rsidRPr="00585474">
        <w:rPr>
          <w:rFonts w:ascii="Arial" w:hAnsi="Arial" w:cs="Arial"/>
          <w:sz w:val="20"/>
          <w:szCs w:val="20"/>
        </w:rPr>
        <w:t>КНпнпа</w:t>
      </w:r>
      <w:proofErr w:type="spellEnd"/>
      <w:r w:rsidRPr="00585474">
        <w:rPr>
          <w:rFonts w:ascii="Arial" w:hAnsi="Arial" w:cs="Arial"/>
          <w:sz w:val="20"/>
          <w:szCs w:val="20"/>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 </w:t>
      </w:r>
    </w:p>
    <w:p w:rsidR="00585474" w:rsidRPr="00585474" w:rsidRDefault="00585474" w:rsidP="00585474">
      <w:pPr>
        <w:autoSpaceDE w:val="0"/>
        <w:autoSpaceDN w:val="0"/>
        <w:adjustRightInd w:val="0"/>
        <w:spacing w:after="0" w:line="240" w:lineRule="auto"/>
        <w:jc w:val="both"/>
        <w:rPr>
          <w:rFonts w:ascii="Arial" w:hAnsi="Arial" w:cs="Arial"/>
          <w:sz w:val="20"/>
          <w:szCs w:val="20"/>
        </w:rPr>
      </w:pPr>
    </w:p>
    <w:p w:rsidR="00585474" w:rsidRPr="00585474" w:rsidRDefault="00585474" w:rsidP="00585474">
      <w:pPr>
        <w:autoSpaceDE w:val="0"/>
        <w:autoSpaceDN w:val="0"/>
        <w:adjustRightInd w:val="0"/>
        <w:spacing w:after="0" w:line="240" w:lineRule="auto"/>
        <w:jc w:val="center"/>
        <w:rPr>
          <w:rFonts w:ascii="Arial" w:hAnsi="Arial" w:cs="Arial"/>
          <w:sz w:val="20"/>
          <w:szCs w:val="20"/>
        </w:rPr>
      </w:pPr>
      <w:r w:rsidRPr="00585474">
        <w:rPr>
          <w:rFonts w:ascii="Arial" w:hAnsi="Arial" w:cs="Arial"/>
          <w:bCs/>
          <w:sz w:val="20"/>
          <w:szCs w:val="20"/>
        </w:rPr>
        <w:t>III. Методика расчета КПЭ для уполномоченного подразделения (должностного лица) администрации района</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3.1. Для уполномоченного подразделения (должностного лица) администрации района рассчитываются </w:t>
      </w:r>
      <w:proofErr w:type="gramStart"/>
      <w:r w:rsidRPr="00585474">
        <w:rPr>
          <w:rFonts w:ascii="Arial" w:hAnsi="Arial" w:cs="Arial"/>
          <w:sz w:val="20"/>
          <w:szCs w:val="20"/>
        </w:rPr>
        <w:t>следующий</w:t>
      </w:r>
      <w:proofErr w:type="gramEnd"/>
      <w:r w:rsidRPr="00585474">
        <w:rPr>
          <w:rFonts w:ascii="Arial" w:hAnsi="Arial" w:cs="Arial"/>
          <w:sz w:val="20"/>
          <w:szCs w:val="20"/>
        </w:rPr>
        <w:t xml:space="preserve"> КПЭ: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который рассчитывается по формуле: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ДС = КС </w:t>
      </w:r>
      <w:proofErr w:type="spellStart"/>
      <w:r w:rsidRPr="00585474">
        <w:rPr>
          <w:rFonts w:ascii="Arial" w:hAnsi="Arial" w:cs="Arial"/>
          <w:sz w:val="20"/>
          <w:szCs w:val="20"/>
        </w:rPr>
        <w:t>Чсрсп</w:t>
      </w:r>
      <w:proofErr w:type="spellEnd"/>
      <w:r w:rsidRPr="00585474">
        <w:rPr>
          <w:rFonts w:ascii="Arial" w:hAnsi="Arial" w:cs="Arial"/>
          <w:sz w:val="20"/>
          <w:szCs w:val="20"/>
        </w:rPr>
        <w:t xml:space="preserve"> </w:t>
      </w:r>
      <w:r w:rsidRPr="00585474">
        <w:rPr>
          <w:rFonts w:ascii="Cambria Math" w:hAnsi="Cambria Math" w:cs="Arial"/>
          <w:sz w:val="20"/>
          <w:szCs w:val="20"/>
        </w:rPr>
        <w:t>∗</w:t>
      </w:r>
      <w:r w:rsidRPr="00585474">
        <w:rPr>
          <w:rFonts w:ascii="Arial" w:hAnsi="Arial" w:cs="Arial"/>
          <w:sz w:val="20"/>
          <w:szCs w:val="20"/>
        </w:rPr>
        <w:t xml:space="preserve"> 100, где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ДС – доля сотрудников администрации района, которые приняли участие в отчетном году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в общем количестве сотрудников администрации района</w:t>
      </w:r>
      <w:proofErr w:type="gramStart"/>
      <w:r w:rsidRPr="00585474">
        <w:rPr>
          <w:rFonts w:ascii="Arial" w:hAnsi="Arial" w:cs="Arial"/>
          <w:sz w:val="20"/>
          <w:szCs w:val="20"/>
        </w:rPr>
        <w:t xml:space="preserve"> (%); </w:t>
      </w:r>
      <w:proofErr w:type="gramEnd"/>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КС – количество сотрудников администрации района, которые приняли участие в отчетном году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(человек);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spellStart"/>
      <w:proofErr w:type="gramStart"/>
      <w:r w:rsidRPr="00585474">
        <w:rPr>
          <w:rFonts w:ascii="Arial" w:hAnsi="Arial" w:cs="Arial"/>
          <w:sz w:val="20"/>
          <w:szCs w:val="20"/>
        </w:rPr>
        <w:t>Чсрсп</w:t>
      </w:r>
      <w:proofErr w:type="spellEnd"/>
      <w:r w:rsidRPr="00585474">
        <w:rPr>
          <w:rFonts w:ascii="Arial" w:hAnsi="Arial" w:cs="Arial"/>
          <w:sz w:val="20"/>
          <w:szCs w:val="20"/>
        </w:rPr>
        <w:t xml:space="preserve"> – среднесписочная численность сотрудников администрации района за отчетный год (за исключением сотрудников занимающих должности, не отнесенные к должностям государственной гражданской службы, чьи должностные (трудовые) обязанности не предусматривают выполнение функций, связанных с рисками нарушения антимонопольного законодательства) (человек). </w:t>
      </w:r>
      <w:proofErr w:type="gramEnd"/>
    </w:p>
    <w:p w:rsidR="00585474" w:rsidRPr="00585474" w:rsidRDefault="00585474" w:rsidP="00585474">
      <w:pPr>
        <w:autoSpaceDE w:val="0"/>
        <w:autoSpaceDN w:val="0"/>
        <w:adjustRightInd w:val="0"/>
        <w:spacing w:after="0" w:line="240" w:lineRule="auto"/>
        <w:jc w:val="both"/>
        <w:rPr>
          <w:rFonts w:ascii="Arial" w:hAnsi="Arial" w:cs="Arial"/>
          <w:sz w:val="20"/>
          <w:szCs w:val="20"/>
        </w:rPr>
      </w:pPr>
    </w:p>
    <w:p w:rsidR="00585474" w:rsidRPr="00585474" w:rsidRDefault="00585474" w:rsidP="00585474">
      <w:pPr>
        <w:autoSpaceDE w:val="0"/>
        <w:autoSpaceDN w:val="0"/>
        <w:adjustRightInd w:val="0"/>
        <w:spacing w:after="0" w:line="240" w:lineRule="auto"/>
        <w:jc w:val="center"/>
        <w:rPr>
          <w:rFonts w:ascii="Arial" w:hAnsi="Arial" w:cs="Arial"/>
          <w:sz w:val="20"/>
          <w:szCs w:val="20"/>
        </w:rPr>
      </w:pPr>
      <w:r w:rsidRPr="00585474">
        <w:rPr>
          <w:rFonts w:ascii="Arial" w:hAnsi="Arial" w:cs="Arial"/>
          <w:bCs/>
          <w:sz w:val="20"/>
          <w:szCs w:val="20"/>
        </w:rPr>
        <w:lastRenderedPageBreak/>
        <w:t>IV. Оценка значений КПЭ для администрации района в целом и КПЭ для уполномоченного подразделения (должностного лица) администрации района</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4.1. Оценка значений КПЭ «коэффициент динамики количества нарушений антимонопольного законодательства, допущенных администрацией района в отчетном году по сравнению с 2017 годом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gramStart"/>
      <w:r w:rsidRPr="00585474">
        <w:rPr>
          <w:rFonts w:ascii="Arial" w:hAnsi="Arial" w:cs="Arial"/>
          <w:sz w:val="20"/>
          <w:szCs w:val="20"/>
        </w:rPr>
        <w:t>Данный КПЭ соответствует ключевому показателю, определенному подпунктом «б» пункта 1 Национального плана развития конкуренции в Российской Федерации на 2018 - 2020 годы (далее – Национальный план), утвержденного Указом Президента Российской Федерации от 21 декабря 2017 года № 618 «Об основных направлениях государственной политики по развитию конкуренции», а именно: «снижение количества нарушений антимонопольного законодательства со стороны органов государственной власти и органов местного самоуправления к</w:t>
      </w:r>
      <w:proofErr w:type="gramEnd"/>
      <w:r w:rsidRPr="00585474">
        <w:rPr>
          <w:rFonts w:ascii="Arial" w:hAnsi="Arial" w:cs="Arial"/>
          <w:sz w:val="20"/>
          <w:szCs w:val="20"/>
        </w:rPr>
        <w:t xml:space="preserve"> 2020 году не менее чем в 2 раза по сравнению с 2017 годом».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Ежегодная оценка значения КПЭ «коэффициент динамики количества нарушений антимонопольного законодательства, допущенных администрацией района в отчетном году по сравнению с 2017 годом (единиц)» позволит определить соответствие целевой динамике, установленной Национальным планом, оценить эффективность и достаточность реализуемых администрацией района мероприятий по выявлению и снижению </w:t>
      </w:r>
      <w:proofErr w:type="spellStart"/>
      <w:r w:rsidRPr="00585474">
        <w:rPr>
          <w:rFonts w:ascii="Arial" w:hAnsi="Arial" w:cs="Arial"/>
          <w:sz w:val="20"/>
          <w:szCs w:val="20"/>
        </w:rPr>
        <w:t>комплаенс-рисков</w:t>
      </w:r>
      <w:proofErr w:type="spellEnd"/>
      <w:r w:rsidRPr="00585474">
        <w:rPr>
          <w:rFonts w:ascii="Arial" w:hAnsi="Arial" w:cs="Arial"/>
          <w:sz w:val="20"/>
          <w:szCs w:val="20"/>
        </w:rPr>
        <w:t xml:space="preserve">.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4.2. Оценка значений КПЭ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 и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Оценка значений вышеуказанных КПЭ позволит оценить эффективность мероприятий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по выявлению </w:t>
      </w:r>
      <w:proofErr w:type="spellStart"/>
      <w:r w:rsidRPr="00585474">
        <w:rPr>
          <w:rFonts w:ascii="Arial" w:hAnsi="Arial" w:cs="Arial"/>
          <w:sz w:val="20"/>
          <w:szCs w:val="20"/>
        </w:rPr>
        <w:t>комплаенс-рисков</w:t>
      </w:r>
      <w:proofErr w:type="spellEnd"/>
      <w:r w:rsidRPr="00585474">
        <w:rPr>
          <w:rFonts w:ascii="Arial" w:hAnsi="Arial" w:cs="Arial"/>
          <w:sz w:val="20"/>
          <w:szCs w:val="20"/>
        </w:rPr>
        <w:t xml:space="preserve">.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gramStart"/>
      <w:r w:rsidRPr="00585474">
        <w:rPr>
          <w:rFonts w:ascii="Arial" w:hAnsi="Arial" w:cs="Arial"/>
          <w:sz w:val="20"/>
          <w:szCs w:val="20"/>
        </w:rPr>
        <w:t>При эффективном проведении мероприятий по анализу действующих нормативных правовых актов, подготовленных администрацией района, анализа проектов нормативных правовых актов, подготовленных администрацией района, проектов нормативных правовых актов администрации района на предмет выявления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района, в отношении которых антимонопольным органом выявлены нарушения антимонопольного законодательства (то есть, низкое</w:t>
      </w:r>
      <w:proofErr w:type="gramEnd"/>
      <w:r w:rsidRPr="00585474">
        <w:rPr>
          <w:rFonts w:ascii="Arial" w:hAnsi="Arial" w:cs="Arial"/>
          <w:sz w:val="20"/>
          <w:szCs w:val="20"/>
        </w:rPr>
        <w:t xml:space="preserve"> значение знаменателя). Таким образом, значение КПЭ будет тем выше, чем эффективнее данные мероприятия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будут осуществляться уполномоченным подразделением (должностным лицом) администрации района. </w:t>
      </w:r>
      <w:proofErr w:type="gramStart"/>
      <w:r w:rsidRPr="00585474">
        <w:rPr>
          <w:rFonts w:ascii="Arial" w:hAnsi="Arial" w:cs="Arial"/>
          <w:sz w:val="20"/>
          <w:szCs w:val="20"/>
        </w:rPr>
        <w:t>И</w:t>
      </w:r>
      <w:proofErr w:type="gramEnd"/>
      <w:r w:rsidRPr="00585474">
        <w:rPr>
          <w:rFonts w:ascii="Arial" w:hAnsi="Arial" w:cs="Arial"/>
          <w:sz w:val="20"/>
          <w:szCs w:val="20"/>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В случае</w:t>
      </w:r>
      <w:proofErr w:type="gramStart"/>
      <w:r w:rsidRPr="00585474">
        <w:rPr>
          <w:rFonts w:ascii="Arial" w:hAnsi="Arial" w:cs="Arial"/>
          <w:sz w:val="20"/>
          <w:szCs w:val="20"/>
        </w:rPr>
        <w:t>,</w:t>
      </w:r>
      <w:proofErr w:type="gramEnd"/>
      <w:r w:rsidRPr="00585474">
        <w:rPr>
          <w:rFonts w:ascii="Arial" w:hAnsi="Arial" w:cs="Arial"/>
          <w:sz w:val="20"/>
          <w:szCs w:val="20"/>
        </w:rPr>
        <w:t xml:space="preserve"> если в отчетном году антимонопольным органом не выявлены нарушения антимонопольного законодательства в действующих нормативных правовых актах, подготовленных администрацией района, значение знаменателя при расчете данных КПЭ следует принимать за единицу.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Целевой ориентир КПЭ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 и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proofErr w:type="gramStart"/>
      <w:r w:rsidRPr="00585474">
        <w:rPr>
          <w:rFonts w:ascii="Arial" w:hAnsi="Arial" w:cs="Arial"/>
          <w:sz w:val="20"/>
          <w:szCs w:val="20"/>
        </w:rPr>
        <w:t xml:space="preserve">количество действующих (проектов) нормативных правовых актов, подготовленных администрацией района, действующих (проектов)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больше, чем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w:t>
      </w:r>
      <w:proofErr w:type="gramEnd"/>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4.3. Оценка значения КПЭ «доля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w:t>
      </w:r>
      <w:proofErr w:type="gramStart"/>
      <w:r w:rsidRPr="00585474">
        <w:rPr>
          <w:rFonts w:ascii="Arial" w:hAnsi="Arial" w:cs="Arial"/>
          <w:sz w:val="20"/>
          <w:szCs w:val="20"/>
        </w:rPr>
        <w:t xml:space="preserve"> (%)». </w:t>
      </w:r>
      <w:proofErr w:type="gramEnd"/>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Вводный (первичный), целевой (внеплановый) инструктаж сотрудников администрации района по вопросам, связанным с соблюдением антимонопольного законодательства и антимонопольным </w:t>
      </w:r>
      <w:proofErr w:type="spellStart"/>
      <w:r w:rsidRPr="00585474">
        <w:rPr>
          <w:rFonts w:ascii="Arial" w:hAnsi="Arial" w:cs="Arial"/>
          <w:sz w:val="20"/>
          <w:szCs w:val="20"/>
        </w:rPr>
        <w:t>комплаенсом</w:t>
      </w:r>
      <w:proofErr w:type="spellEnd"/>
      <w:r w:rsidRPr="00585474">
        <w:rPr>
          <w:rFonts w:ascii="Arial" w:hAnsi="Arial" w:cs="Arial"/>
          <w:sz w:val="20"/>
          <w:szCs w:val="20"/>
        </w:rPr>
        <w:t xml:space="preserve">, отнесено к компетенции уполномоченного подразделения (должностного лица) администрации района согласно пунктам 51, 52 положения об </w:t>
      </w:r>
      <w:proofErr w:type="gramStart"/>
      <w:r w:rsidRPr="00585474">
        <w:rPr>
          <w:rFonts w:ascii="Arial" w:hAnsi="Arial" w:cs="Arial"/>
          <w:sz w:val="20"/>
          <w:szCs w:val="20"/>
        </w:rPr>
        <w:t>антимонопольном</w:t>
      </w:r>
      <w:proofErr w:type="gramEnd"/>
      <w:r w:rsidRPr="00585474">
        <w:rPr>
          <w:rFonts w:ascii="Arial" w:hAnsi="Arial" w:cs="Arial"/>
          <w:sz w:val="20"/>
          <w:szCs w:val="20"/>
        </w:rPr>
        <w:t xml:space="preserve"> </w:t>
      </w:r>
      <w:proofErr w:type="spellStart"/>
      <w:r w:rsidRPr="00585474">
        <w:rPr>
          <w:rFonts w:ascii="Arial" w:hAnsi="Arial" w:cs="Arial"/>
          <w:sz w:val="20"/>
          <w:szCs w:val="20"/>
        </w:rPr>
        <w:t>комплаенсе</w:t>
      </w:r>
      <w:proofErr w:type="spellEnd"/>
      <w:r w:rsidRPr="00585474">
        <w:rPr>
          <w:rFonts w:ascii="Arial" w:hAnsi="Arial" w:cs="Arial"/>
          <w:sz w:val="20"/>
          <w:szCs w:val="20"/>
        </w:rPr>
        <w:t xml:space="preserve">.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lastRenderedPageBreak/>
        <w:t xml:space="preserve">От эффективности работы по обучению и консультированию сотрудников администрации района по вопросам, касающимся соблюдения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напрямую зависит возможность достижения других КПЭ, определенных настоящим перечнем КПЭ с методикой, а также ключевого показателя, предусмотренного подпунктом «б» пункта 1 Национального плана.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Высокое значение количества сотрудников администрации района, которые приняли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 (числитель), обеспечивает высокое значение КПЭ. </w:t>
      </w:r>
    </w:p>
    <w:p w:rsidR="00585474" w:rsidRPr="00585474" w:rsidRDefault="00585474" w:rsidP="00585474">
      <w:pPr>
        <w:autoSpaceDE w:val="0"/>
        <w:autoSpaceDN w:val="0"/>
        <w:adjustRightInd w:val="0"/>
        <w:spacing w:after="0" w:line="240" w:lineRule="auto"/>
        <w:ind w:firstLine="709"/>
        <w:jc w:val="both"/>
        <w:rPr>
          <w:rFonts w:ascii="Arial" w:hAnsi="Arial" w:cs="Arial"/>
          <w:sz w:val="20"/>
          <w:szCs w:val="20"/>
        </w:rPr>
      </w:pPr>
      <w:r w:rsidRPr="00585474">
        <w:rPr>
          <w:rFonts w:ascii="Arial" w:hAnsi="Arial" w:cs="Arial"/>
          <w:sz w:val="20"/>
          <w:szCs w:val="20"/>
        </w:rPr>
        <w:t xml:space="preserve">Целевое значение КПЭ «доля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585474">
        <w:rPr>
          <w:rFonts w:ascii="Arial" w:hAnsi="Arial" w:cs="Arial"/>
          <w:sz w:val="20"/>
          <w:szCs w:val="20"/>
        </w:rPr>
        <w:t>комплаенса</w:t>
      </w:r>
      <w:proofErr w:type="spellEnd"/>
      <w:r w:rsidRPr="00585474">
        <w:rPr>
          <w:rFonts w:ascii="Arial" w:hAnsi="Arial" w:cs="Arial"/>
          <w:sz w:val="20"/>
          <w:szCs w:val="20"/>
        </w:rPr>
        <w:t xml:space="preserve"> администрации района</w:t>
      </w:r>
      <w:proofErr w:type="gramStart"/>
      <w:r w:rsidRPr="00585474">
        <w:rPr>
          <w:rFonts w:ascii="Arial" w:hAnsi="Arial" w:cs="Arial"/>
          <w:sz w:val="20"/>
          <w:szCs w:val="20"/>
        </w:rPr>
        <w:t xml:space="preserve"> (%)»: </w:t>
      </w:r>
      <w:proofErr w:type="gramEnd"/>
    </w:p>
    <w:p w:rsidR="00585474" w:rsidRPr="00585474" w:rsidRDefault="00585474" w:rsidP="00585474">
      <w:pPr>
        <w:spacing w:after="0" w:line="240" w:lineRule="auto"/>
        <w:ind w:firstLine="709"/>
        <w:jc w:val="both"/>
        <w:rPr>
          <w:rFonts w:ascii="Arial" w:eastAsia="Times New Roman" w:hAnsi="Arial" w:cs="Arial"/>
          <w:sz w:val="20"/>
          <w:szCs w:val="20"/>
          <w:lang w:eastAsia="ru-RU"/>
        </w:rPr>
      </w:pPr>
      <w:proofErr w:type="gramStart"/>
      <w:r w:rsidRPr="00585474">
        <w:rPr>
          <w:rFonts w:ascii="Arial" w:eastAsia="Times New Roman" w:hAnsi="Arial" w:cs="Arial"/>
          <w:sz w:val="20"/>
          <w:szCs w:val="20"/>
          <w:lang w:eastAsia="ru-RU"/>
        </w:rPr>
        <w:t>70-100% от среднесписочной численности сотрудников администрации района за отчетный год (за исключением сотрудников занимающих должности, не отнесенные к должностям муниципальной службы, чьи должностные (трудовые) обязанности не предусматривают выполнение функций, связанных с рисками нарушения антимонопольного законодательства).</w:t>
      </w:r>
      <w:proofErr w:type="gramEnd"/>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85474"/>
    <w:rsid w:val="00585474"/>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47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2472</Words>
  <Characters>14094</Characters>
  <Application>Microsoft Office Word</Application>
  <DocSecurity>0</DocSecurity>
  <Lines>117</Lines>
  <Paragraphs>33</Paragraphs>
  <ScaleCrop>false</ScaleCrop>
  <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2020-03-24T07:38:00Z</dcterms:created>
  <dcterms:modified xsi:type="dcterms:W3CDTF">2020-03-24T07:40:00Z</dcterms:modified>
</cp:coreProperties>
</file>