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w:t>
      </w:r>
      <w:r w:rsidR="00C84028" w:rsidRPr="00113309">
        <w:rPr>
          <w:b/>
          <w:sz w:val="28"/>
          <w:szCs w:val="28"/>
        </w:rPr>
        <w:t>рования Такучетского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064FA1" w:rsidRDefault="00064FA1"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Такучетского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w:t>
      </w:r>
      <w:r w:rsidRPr="00113309">
        <w:lastRenderedPageBreak/>
        <w:t>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w:t>
      </w:r>
      <w:r w:rsidRPr="00113309">
        <w:lastRenderedPageBreak/>
        <w:t xml:space="preserve">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lastRenderedPageBreak/>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lastRenderedPageBreak/>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lastRenderedPageBreak/>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lastRenderedPageBreak/>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lastRenderedPageBreak/>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lastRenderedPageBreak/>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lastRenderedPageBreak/>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w:t>
      </w:r>
      <w:r w:rsidRPr="00113309">
        <w:rPr>
          <w:rFonts w:ascii="Times New Roman" w:hAnsi="Times New Roman" w:cs="Times New Roman"/>
        </w:rPr>
        <w:lastRenderedPageBreak/>
        <w:t>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lastRenderedPageBreak/>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lastRenderedPageBreak/>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lastRenderedPageBreak/>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lastRenderedPageBreak/>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lastRenderedPageBreak/>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lastRenderedPageBreak/>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w:t>
      </w:r>
      <w:r w:rsidRPr="00113309">
        <w:lastRenderedPageBreak/>
        <w:t>«Методических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lastRenderedPageBreak/>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lastRenderedPageBreak/>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w:t>
      </w:r>
      <w:r w:rsidRPr="00113309">
        <w:lastRenderedPageBreak/>
        <w:t xml:space="preserve">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lastRenderedPageBreak/>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w:t>
      </w:r>
      <w:r w:rsidRPr="00113309">
        <w:lastRenderedPageBreak/>
        <w:t xml:space="preserve">–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 xml:space="preserve">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w:t>
      </w:r>
      <w:r w:rsidRPr="00113309">
        <w:lastRenderedPageBreak/>
        <w:t>«О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lastRenderedPageBreak/>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lastRenderedPageBreak/>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lastRenderedPageBreak/>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lastRenderedPageBreak/>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lastRenderedPageBreak/>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 xml:space="preserve">определена 450 м/5-10 мин. (см. п.9 </w:t>
      </w:r>
      <w:r w:rsidRPr="00113309">
        <w:lastRenderedPageBreak/>
        <w:t>«Нормативы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lastRenderedPageBreak/>
        <w:t>Плавательные бассейны</w:t>
      </w:r>
      <w:bookmarkEnd w:id="130"/>
      <w:bookmarkEnd w:id="131"/>
    </w:p>
    <w:p w:rsidR="00341331" w:rsidRPr="00113309" w:rsidRDefault="00341331" w:rsidP="00341331">
      <w:pPr>
        <w:pStyle w:val="a6"/>
      </w:pPr>
      <w:r w:rsidRPr="00113309">
        <w:t xml:space="preserve">Норматив обеспеченности населения плавательными бассейнами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lastRenderedPageBreak/>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w:t>
      </w:r>
      <w:r w:rsidRPr="00113309">
        <w:lastRenderedPageBreak/>
        <w:t xml:space="preserve">несколько микрорайонов объединяются в жилой район, несколько жилых районов образуют </w:t>
      </w:r>
      <w:r w:rsidRPr="00113309">
        <w:lastRenderedPageBreak/>
        <w:t xml:space="preserve">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lastRenderedPageBreak/>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lastRenderedPageBreak/>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lastRenderedPageBreak/>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lastRenderedPageBreak/>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lastRenderedPageBreak/>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AB2AA9" w:rsidRPr="00113309" w:rsidRDefault="00AB2AA9" w:rsidP="00AB2AA9">
      <w:pPr>
        <w:pStyle w:val="af1"/>
      </w:pPr>
      <w:r w:rsidRPr="00113309">
        <w:t xml:space="preserve">Общие </w:t>
      </w:r>
      <w:bookmarkStart w:id="178" w:name="OCRUncertain537"/>
      <w:r w:rsidRPr="00113309">
        <w:t>указания</w:t>
      </w:r>
      <w:bookmarkEnd w:id="178"/>
    </w:p>
    <w:p w:rsidR="00AB2AA9" w:rsidRPr="00113309" w:rsidRDefault="00AB2AA9" w:rsidP="00AB2AA9">
      <w:pPr>
        <w:pStyle w:val="a6"/>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AB2AA9" w:rsidRPr="00113309" w:rsidRDefault="00AB2AA9" w:rsidP="00AB2AA9">
      <w:pPr>
        <w:pStyle w:val="a6"/>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AB2AA9" w:rsidRPr="00113309" w:rsidRDefault="00AB2AA9" w:rsidP="00AB2AA9">
      <w:pPr>
        <w:pStyle w:val="a6"/>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AB2AA9" w:rsidRPr="00113309" w:rsidRDefault="00AB2AA9" w:rsidP="00AB2AA9">
      <w:pPr>
        <w:pStyle w:val="a6"/>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AB2AA9" w:rsidRPr="00113309" w:rsidRDefault="00AB2AA9" w:rsidP="00AB2AA9">
      <w:pPr>
        <w:pStyle w:val="a6"/>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AB2AA9" w:rsidRPr="00113309" w:rsidRDefault="00AB2AA9" w:rsidP="00AB2AA9">
      <w:pPr>
        <w:pStyle w:val="a6"/>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AB2AA9" w:rsidRPr="00113309" w:rsidRDefault="00AB2AA9" w:rsidP="00AB2AA9">
      <w:pPr>
        <w:pStyle w:val="a6"/>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113309" w:rsidRDefault="00AB2AA9" w:rsidP="00AB2AA9">
      <w:pPr>
        <w:jc w:val="center"/>
        <w:rPr>
          <w:b/>
        </w:rPr>
      </w:pPr>
      <w:r w:rsidRPr="00113309">
        <w:rPr>
          <w:b/>
        </w:rPr>
        <w:lastRenderedPageBreak/>
        <w:t>Водоводы и сети</w:t>
      </w:r>
    </w:p>
    <w:p w:rsidR="00AB2AA9" w:rsidRPr="00113309" w:rsidRDefault="00AB2AA9" w:rsidP="00AB2AA9">
      <w:pPr>
        <w:pStyle w:val="a6"/>
      </w:pPr>
      <w:r w:rsidRPr="00113309">
        <w:rPr>
          <w:bCs/>
        </w:rPr>
        <w:t xml:space="preserve">При </w:t>
      </w:r>
      <w:r w:rsidRPr="00113309">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AB2AA9" w:rsidRPr="00113309" w:rsidRDefault="00AB2AA9" w:rsidP="00AB2AA9">
      <w:pPr>
        <w:pStyle w:val="a6"/>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AB2AA9" w:rsidRPr="00113309" w:rsidRDefault="00AB2AA9" w:rsidP="00AB2AA9">
      <w:pPr>
        <w:pStyle w:val="a6"/>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113309" w:rsidRDefault="00AB2AA9" w:rsidP="00AB2AA9">
      <w:pPr>
        <w:pStyle w:val="a6"/>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113309" w:rsidRDefault="00AB2AA9" w:rsidP="00AB2AA9">
      <w:pPr>
        <w:pStyle w:val="a6"/>
      </w:pPr>
      <w:r w:rsidRPr="00113309">
        <w:t>Водопроводные сети должны проектироваться кольцевыми.</w:t>
      </w:r>
    </w:p>
    <w:p w:rsidR="00AB2AA9" w:rsidRPr="00113309" w:rsidRDefault="00AB2AA9" w:rsidP="00CF5B5C">
      <w:pPr>
        <w:pStyle w:val="2"/>
      </w:pPr>
      <w:bookmarkStart w:id="193" w:name="_Toc389132852"/>
      <w:bookmarkStart w:id="194" w:name="_Toc393700464"/>
      <w:r w:rsidRPr="00113309">
        <w:t>Объекты водоотведения</w:t>
      </w:r>
      <w:bookmarkEnd w:id="193"/>
      <w:bookmarkEnd w:id="194"/>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95"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96" w:name="_Ref354156974"/>
      <w:bookmarkStart w:id="197" w:name="_Ref364440721"/>
      <w:bookmarkEnd w:id="195"/>
      <w:r w:rsidRPr="00113309">
        <w:lastRenderedPageBreak/>
        <w:t xml:space="preserve">Таблица </w:t>
      </w:r>
      <w:bookmarkEnd w:id="197"/>
      <w:r w:rsidR="00D21A99" w:rsidRPr="00113309">
        <w:t>36</w:t>
      </w:r>
    </w:p>
    <w:bookmarkEnd w:id="196"/>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8" w:name="_Ref354157014"/>
      <w:bookmarkStart w:id="199" w:name="_Ref364440747"/>
      <w:r w:rsidRPr="00113309">
        <w:t xml:space="preserve">в </w:t>
      </w:r>
      <w:r w:rsidR="00D21A99" w:rsidRPr="00113309">
        <w:t>таблице 37</w:t>
      </w:r>
    </w:p>
    <w:p w:rsidR="00AB2AA9" w:rsidRPr="00113309" w:rsidRDefault="00AB2AA9" w:rsidP="00AB2AA9">
      <w:pPr>
        <w:pStyle w:val="af1"/>
        <w:keepNext/>
        <w:jc w:val="right"/>
      </w:pPr>
      <w:bookmarkStart w:id="200" w:name="_Ref393703595"/>
      <w:r w:rsidRPr="00113309">
        <w:t xml:space="preserve">Таблица </w:t>
      </w:r>
      <w:bookmarkEnd w:id="199"/>
      <w:bookmarkEnd w:id="200"/>
      <w:r w:rsidR="00D21A99" w:rsidRPr="00113309">
        <w:t>37</w:t>
      </w:r>
    </w:p>
    <w:bookmarkEnd w:id="198"/>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201" w:name="_Ref354392419"/>
      <w:bookmarkStart w:id="202" w:name="_Ref364440787"/>
      <w:r w:rsidRPr="00113309">
        <w:t xml:space="preserve">Таблица </w:t>
      </w:r>
      <w:bookmarkEnd w:id="202"/>
      <w:r w:rsidR="00D21A99" w:rsidRPr="00113309">
        <w:t>38</w:t>
      </w:r>
    </w:p>
    <w:bookmarkEnd w:id="201"/>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AB2AA9" w:rsidRPr="00113309" w:rsidRDefault="00AB2AA9" w:rsidP="00AB2AA9">
      <w:pPr>
        <w:ind w:firstLine="284"/>
        <w:jc w:val="center"/>
        <w:rPr>
          <w:b/>
          <w:bCs/>
        </w:rPr>
      </w:pPr>
      <w:r w:rsidRPr="00113309">
        <w:rPr>
          <w:b/>
          <w:bCs/>
        </w:rPr>
        <w:t>СЕЙСМИЧЕСКИЕ РАЙОНЫ</w:t>
      </w:r>
    </w:p>
    <w:p w:rsidR="00AB2AA9" w:rsidRPr="00113309" w:rsidRDefault="00AB2AA9" w:rsidP="00AB2AA9">
      <w:pPr>
        <w:pStyle w:val="a6"/>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AB2AA9" w:rsidRPr="00113309" w:rsidRDefault="00AB2AA9" w:rsidP="00AB2AA9">
      <w:pPr>
        <w:pStyle w:val="a6"/>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113309" w:rsidRDefault="00AB2AA9" w:rsidP="00AB2AA9">
      <w:pPr>
        <w:pStyle w:val="a6"/>
      </w:pPr>
      <w:r w:rsidRPr="00113309">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113309" w:rsidRDefault="00AB2AA9" w:rsidP="00AB2AA9">
      <w:pPr>
        <w:pStyle w:val="a6"/>
      </w:pPr>
      <w:r w:rsidRPr="00113309">
        <w:t>При благоприятных местных условиях следует применять методы естественной очистки сточных вод.</w:t>
      </w:r>
    </w:p>
    <w:p w:rsidR="00AB2AA9" w:rsidRPr="00113309" w:rsidRDefault="00AB2AA9" w:rsidP="00AB2AA9">
      <w:pPr>
        <w:pStyle w:val="a6"/>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113309" w:rsidRDefault="00AB2AA9" w:rsidP="00AB2AA9">
      <w:pPr>
        <w:pStyle w:val="a6"/>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113309" w:rsidRDefault="00AB2AA9" w:rsidP="00AB2AA9">
      <w:pPr>
        <w:pStyle w:val="a6"/>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113309" w:rsidRDefault="00AB2AA9" w:rsidP="00AB2AA9">
      <w:pPr>
        <w:pStyle w:val="a6"/>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113309" w:rsidRDefault="00120F98" w:rsidP="00CF5B5C">
      <w:pPr>
        <w:pStyle w:val="2"/>
      </w:pPr>
      <w:bookmarkStart w:id="203" w:name="_Toc389132853"/>
      <w:bookmarkStart w:id="204" w:name="_Toc393700465"/>
      <w:r w:rsidRPr="00113309">
        <w:lastRenderedPageBreak/>
        <w:t>Снабжение населения топливом</w:t>
      </w:r>
      <w:bookmarkEnd w:id="203"/>
      <w:bookmarkEnd w:id="204"/>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205" w:name="_Ref354159819"/>
      <w:bookmarkStart w:id="206" w:name="_Ref364441076"/>
      <w:r w:rsidRPr="00113309">
        <w:t xml:space="preserve">Таблица </w:t>
      </w:r>
      <w:bookmarkEnd w:id="206"/>
      <w:r w:rsidR="00D21A99" w:rsidRPr="00113309">
        <w:t>40</w:t>
      </w:r>
    </w:p>
    <w:bookmarkEnd w:id="205"/>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09" w:name="_Toc389132864"/>
      <w:bookmarkStart w:id="210" w:name="_Toc393700470"/>
      <w:bookmarkStart w:id="211" w:name="_Toc389132861"/>
      <w:bookmarkStart w:id="212"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1"/>
      <w:bookmarkEnd w:id="212"/>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13" w:name="_Ref375128471"/>
      <w:r w:rsidRPr="00113309">
        <w:lastRenderedPageBreak/>
        <w:t xml:space="preserve">Таблица </w:t>
      </w:r>
      <w:bookmarkEnd w:id="213"/>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14" w:name="_Toc389132862"/>
      <w:bookmarkStart w:id="215" w:name="_Toc393700468"/>
      <w:r w:rsidRPr="00113309">
        <w:lastRenderedPageBreak/>
        <w:t>Категории и параметры автомобильных дорог систем расселения</w:t>
      </w:r>
      <w:bookmarkEnd w:id="214"/>
      <w:bookmarkEnd w:id="215"/>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16" w:name="_Toc389132854"/>
      <w:bookmarkStart w:id="217" w:name="_Toc393700483"/>
      <w:bookmarkStart w:id="218" w:name="_Toc389132863"/>
      <w:bookmarkStart w:id="219" w:name="_Toc393700469"/>
      <w:bookmarkEnd w:id="209"/>
      <w:bookmarkEnd w:id="210"/>
      <w:r w:rsidRPr="00113309">
        <w:lastRenderedPageBreak/>
        <w:t>Параметры отводимых территорий под размещаемые автомобильные дороги</w:t>
      </w:r>
      <w:bookmarkEnd w:id="218"/>
      <w:bookmarkEnd w:id="219"/>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20" w:name="_Ref375138376"/>
      <w:r w:rsidRPr="00113309">
        <w:t xml:space="preserve">Таблица </w:t>
      </w:r>
      <w:bookmarkEnd w:id="220"/>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23" w:name="_Ref375131017"/>
      <w:r w:rsidRPr="00113309">
        <w:lastRenderedPageBreak/>
        <w:t xml:space="preserve">Таблица </w:t>
      </w:r>
      <w:bookmarkEnd w:id="223"/>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24" w:name="_Ref375228443"/>
      <w:r w:rsidRPr="00113309">
        <w:t xml:space="preserve">Таблица </w:t>
      </w:r>
      <w:bookmarkEnd w:id="224"/>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25" w:name="_Toc389132866"/>
      <w:bookmarkStart w:id="226" w:name="_Toc393700472"/>
      <w:r w:rsidRPr="00113309">
        <w:lastRenderedPageBreak/>
        <w:t>Затраты времени на передвижение трудящихся</w:t>
      </w:r>
      <w:bookmarkEnd w:id="225"/>
      <w:bookmarkEnd w:id="226"/>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27" w:name="_Ref375228553"/>
      <w:r w:rsidRPr="00113309">
        <w:t xml:space="preserve">Таблица </w:t>
      </w:r>
      <w:bookmarkEnd w:id="227"/>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30" w:name="_Ref375232557"/>
      <w:r w:rsidRPr="00113309">
        <w:t xml:space="preserve">Таблица </w:t>
      </w:r>
      <w:r w:rsidR="00D21A99" w:rsidRPr="00113309">
        <w:t>48</w:t>
      </w:r>
      <w:fldSimple w:instr=" SEQ Таблица \* ARABIC "/>
      <w:bookmarkEnd w:id="230"/>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lastRenderedPageBreak/>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33" w:name="_Ref375232581"/>
      <w:r w:rsidRPr="00113309">
        <w:lastRenderedPageBreak/>
        <w:t xml:space="preserve">Таблица </w:t>
      </w:r>
      <w:bookmarkEnd w:id="233"/>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34" w:name="_Ref375232596"/>
      <w:r w:rsidRPr="00113309">
        <w:lastRenderedPageBreak/>
        <w:t xml:space="preserve">Таблица </w:t>
      </w:r>
      <w:bookmarkEnd w:id="234"/>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lastRenderedPageBreak/>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35" w:name="_Toc389132869"/>
      <w:bookmarkStart w:id="236" w:name="_Toc393700475"/>
      <w:r w:rsidRPr="00113309">
        <w:t>Основные параметры тротуаров и пешеходных дорожек</w:t>
      </w:r>
      <w:bookmarkEnd w:id="235"/>
      <w:bookmarkEnd w:id="236"/>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37" w:name="_Ref375232624"/>
    </w:p>
    <w:p w:rsidR="00A621BA" w:rsidRPr="00113309" w:rsidRDefault="00A621BA" w:rsidP="00A621BA">
      <w:pPr>
        <w:pStyle w:val="af1"/>
        <w:keepNext/>
        <w:jc w:val="right"/>
      </w:pPr>
      <w:bookmarkStart w:id="238" w:name="_Ref393703785"/>
      <w:r w:rsidRPr="00113309">
        <w:t xml:space="preserve">Таблица </w:t>
      </w:r>
      <w:bookmarkEnd w:id="237"/>
      <w:bookmarkEnd w:id="238"/>
      <w:r w:rsidR="00D21A99" w:rsidRPr="00113309">
        <w:t>51</w:t>
      </w:r>
    </w:p>
    <w:p w:rsidR="00A621BA" w:rsidRPr="00113309" w:rsidRDefault="00A621BA" w:rsidP="00A621BA">
      <w:pPr>
        <w:pStyle w:val="af3"/>
      </w:pPr>
      <w:bookmarkStart w:id="239" w:name="_Toc389132870"/>
      <w:bookmarkStart w:id="240"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lastRenderedPageBreak/>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39"/>
      <w:bookmarkEnd w:id="240"/>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41" w:name="_Ref375232640"/>
      <w:r w:rsidRPr="00113309">
        <w:t xml:space="preserve">Таблица </w:t>
      </w:r>
      <w:bookmarkEnd w:id="241"/>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местные улицы и дороги местного </w:t>
            </w:r>
            <w:r w:rsidRPr="00113309">
              <w:rPr>
                <w:sz w:val="20"/>
                <w:szCs w:val="20"/>
              </w:rPr>
              <w:lastRenderedPageBreak/>
              <w:t>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w:t>
            </w:r>
            <w:r w:rsidRPr="00113309">
              <w:rPr>
                <w:sz w:val="20"/>
                <w:szCs w:val="20"/>
              </w:rPr>
              <w:lastRenderedPageBreak/>
              <w:t xml:space="preserve">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с применением </w:t>
            </w:r>
            <w:r w:rsidRPr="00113309">
              <w:rPr>
                <w:sz w:val="20"/>
                <w:szCs w:val="20"/>
              </w:rPr>
              <w:lastRenderedPageBreak/>
              <w:t>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Наименьший диаметр разворотных площадок в конце </w:t>
            </w:r>
            <w:r w:rsidRPr="00113309">
              <w:rPr>
                <w:sz w:val="20"/>
                <w:szCs w:val="20"/>
              </w:rPr>
              <w:lastRenderedPageBreak/>
              <w:t>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средств </w:t>
            </w:r>
            <w:r w:rsidRPr="00113309">
              <w:rPr>
                <w:sz w:val="20"/>
                <w:szCs w:val="20"/>
              </w:rPr>
              <w:lastRenderedPageBreak/>
              <w:t>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42" w:name="_Toc389132871"/>
      <w:bookmarkStart w:id="243" w:name="_Toc393700477"/>
      <w:r w:rsidRPr="00113309">
        <w:lastRenderedPageBreak/>
        <w:t>Параметры пешеходных путей с возможностью проезда механических инвалидных колясок</w:t>
      </w:r>
      <w:bookmarkEnd w:id="242"/>
      <w:bookmarkEnd w:id="243"/>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44" w:name="_Toc389132872"/>
      <w:bookmarkStart w:id="245" w:name="_Toc393700478"/>
      <w:r w:rsidRPr="00113309">
        <w:t>Ширина полосы для складирования снега в пределах проезжей части улиц и дорог</w:t>
      </w:r>
      <w:bookmarkEnd w:id="244"/>
      <w:bookmarkEnd w:id="245"/>
      <w:r w:rsidRPr="00113309">
        <w:t xml:space="preserve"> </w:t>
      </w:r>
    </w:p>
    <w:p w:rsidR="00A621BA" w:rsidRPr="00113309" w:rsidRDefault="00A621BA" w:rsidP="00A621BA">
      <w:pPr>
        <w:pStyle w:val="a6"/>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46"/>
      <w:bookmarkEnd w:id="247"/>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8" w:name="_Ref375232726"/>
      <w:r w:rsidRPr="00113309">
        <w:t xml:space="preserve">Таблица </w:t>
      </w:r>
      <w:bookmarkEnd w:id="248"/>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49" w:name="_Toc389132874"/>
      <w:bookmarkStart w:id="250" w:name="_Toc393700480"/>
      <w:r w:rsidRPr="00113309">
        <w:lastRenderedPageBreak/>
        <w:t>Нормы проектирования сооружений и устройств для хранения  и обслуживания транспортных средств</w:t>
      </w:r>
      <w:bookmarkEnd w:id="249"/>
      <w:bookmarkEnd w:id="250"/>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lastRenderedPageBreak/>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51" w:name="_Ref375232750"/>
      <w:bookmarkStart w:id="252" w:name="_Ref375825095"/>
      <w:r w:rsidRPr="00113309">
        <w:t xml:space="preserve">Таблица </w:t>
      </w:r>
      <w:bookmarkEnd w:id="251"/>
      <w:bookmarkEnd w:id="252"/>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55" w:name="_Ref375232820"/>
      <w:r w:rsidRPr="00113309">
        <w:t xml:space="preserve">Таблица </w:t>
      </w:r>
      <w:bookmarkEnd w:id="255"/>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56" w:name="_Toc389132876"/>
      <w:bookmarkStart w:id="257" w:name="_Toc393700482"/>
      <w:r w:rsidRPr="00113309">
        <w:t>Показатели инженерной подготовки и защиты территории</w:t>
      </w:r>
      <w:bookmarkEnd w:id="256"/>
      <w:bookmarkEnd w:id="257"/>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58" w:name="_Ref375141282"/>
      <w:r w:rsidRPr="00113309">
        <w:t xml:space="preserve">Таблица </w:t>
      </w:r>
      <w:bookmarkEnd w:id="258"/>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16"/>
      <w:bookmarkEnd w:id="217"/>
    </w:p>
    <w:p w:rsidR="00436E04" w:rsidRPr="00113309" w:rsidRDefault="00436E04" w:rsidP="00CF5B5C">
      <w:pPr>
        <w:pStyle w:val="2"/>
      </w:pPr>
      <w:bookmarkStart w:id="259" w:name="_Toc389132877"/>
      <w:bookmarkStart w:id="260" w:name="_Toc393700489"/>
      <w:bookmarkStart w:id="261" w:name="_Toc389132855"/>
      <w:bookmarkStart w:id="262" w:name="_Toc393700484"/>
      <w:r w:rsidRPr="00113309">
        <w:t>Параметры проектирования сети общественного пассажирского транспорта и пешеходного движения</w:t>
      </w:r>
      <w:bookmarkEnd w:id="261"/>
      <w:bookmarkEnd w:id="262"/>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63" w:name="_Ref375232261"/>
      <w:r w:rsidRPr="00113309">
        <w:lastRenderedPageBreak/>
        <w:t xml:space="preserve">Таблица </w:t>
      </w:r>
      <w:bookmarkEnd w:id="263"/>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64" w:name="_Toc389132856"/>
      <w:bookmarkStart w:id="265" w:name="_Toc393700485"/>
      <w:r w:rsidRPr="00113309">
        <w:lastRenderedPageBreak/>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8" w:name="_Toc389132858"/>
      <w:bookmarkStart w:id="269" w:name="_Toc393700487"/>
      <w:r w:rsidRPr="00113309">
        <w:lastRenderedPageBreak/>
        <w:t>Нормы проектирования отстойно-разворотных площадок</w:t>
      </w:r>
      <w:bookmarkEnd w:id="268"/>
      <w:bookmarkEnd w:id="269"/>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70" w:name="_Toc389132859"/>
      <w:bookmarkStart w:id="271" w:name="_Toc393700488"/>
      <w:r w:rsidRPr="00113309">
        <w:t>Нормы земельных участков под автобусные парки (гаражи)</w:t>
      </w:r>
      <w:bookmarkEnd w:id="270"/>
      <w:bookmarkEnd w:id="271"/>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lastRenderedPageBreak/>
        <w:t>Нормативы обеспеченности пунктами технического осмотра автомобилей в границах населенных пунктов поселения</w:t>
      </w:r>
      <w:bookmarkEnd w:id="259"/>
      <w:bookmarkEnd w:id="260"/>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72" w:name="_Toc389132886"/>
      <w:bookmarkStart w:id="273"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72"/>
      <w:bookmarkEnd w:id="273"/>
    </w:p>
    <w:p w:rsidR="008D20DC" w:rsidRPr="00113309" w:rsidRDefault="008D20DC" w:rsidP="00CF5B5C">
      <w:pPr>
        <w:pStyle w:val="2"/>
      </w:pPr>
      <w:bookmarkStart w:id="274" w:name="_Toc389132887"/>
      <w:bookmarkStart w:id="275" w:name="_Toc393700491"/>
      <w:r w:rsidRPr="00113309">
        <w:t>Нормативные размеры земельного участка для кладбища</w:t>
      </w:r>
      <w:bookmarkEnd w:id="274"/>
      <w:bookmarkEnd w:id="275"/>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lastRenderedPageBreak/>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lastRenderedPageBreak/>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8" w:name="_Toc389132889"/>
      <w:bookmarkStart w:id="279" w:name="_Toc393700493"/>
      <w:r w:rsidRPr="00113309">
        <w:t>Нормативные требования к участку, отводимому под кладбище.</w:t>
      </w:r>
      <w:bookmarkEnd w:id="278"/>
      <w:bookmarkEnd w:id="279"/>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80" w:name="_Toc389132890"/>
      <w:bookmarkStart w:id="281" w:name="_Toc393700494"/>
      <w:r w:rsidRPr="00113309">
        <w:lastRenderedPageBreak/>
        <w:t>Нормативные требования к использованию территорий закрытых кладбищ.</w:t>
      </w:r>
      <w:bookmarkEnd w:id="280"/>
      <w:bookmarkEnd w:id="281"/>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8D20DC" w:rsidRPr="00113309" w:rsidRDefault="008D20DC" w:rsidP="00CF5B5C">
      <w:pPr>
        <w:pStyle w:val="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8" w:name="_Ref393703914"/>
      <w:r w:rsidRPr="00113309">
        <w:t xml:space="preserve">Таблица </w:t>
      </w:r>
      <w:bookmarkEnd w:id="288"/>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91" w:name="_Toc389132881"/>
      <w:bookmarkStart w:id="292"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91"/>
      <w:bookmarkEnd w:id="292"/>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93" w:name="_Toc389132882"/>
      <w:bookmarkStart w:id="294" w:name="_Toc393700500"/>
      <w:r w:rsidRPr="00113309">
        <w:t>Нормативные требования к мероприятиям по мусороудалению</w:t>
      </w:r>
      <w:bookmarkEnd w:id="293"/>
      <w:bookmarkEnd w:id="294"/>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99" w:name="_Toc389132885"/>
      <w:bookmarkStart w:id="300"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301" w:name="_Toc389132906"/>
      <w:bookmarkStart w:id="302"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8D20DC" w:rsidRPr="00113309" w:rsidRDefault="008D20DC" w:rsidP="00CF5B5C">
      <w:pPr>
        <w:pStyle w:val="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305" w:name="_Toc389132908"/>
      <w:bookmarkStart w:id="306" w:name="_Toc393700506"/>
      <w:r w:rsidRPr="00113309">
        <w:t>Нормативные требования градостроительного проектирования в сейсмических районах</w:t>
      </w:r>
      <w:bookmarkEnd w:id="305"/>
      <w:bookmarkEnd w:id="306"/>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09" w:name="_Toc389132910"/>
      <w:bookmarkStart w:id="310" w:name="_Toc393700508"/>
      <w:r w:rsidRPr="00113309">
        <w:lastRenderedPageBreak/>
        <w:t>Нормативные требования по защите территорий от затопления и по</w:t>
      </w:r>
      <w:r w:rsidRPr="00113309">
        <w:t>д</w:t>
      </w:r>
      <w:r w:rsidRPr="00113309">
        <w:t>топления</w:t>
      </w:r>
      <w:bookmarkEnd w:id="309"/>
      <w:bookmarkEnd w:id="310"/>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13"/>
      <w:bookmarkEnd w:id="314"/>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17" w:name="_Toc389132914"/>
      <w:bookmarkStart w:id="318" w:name="_Toc393700512"/>
      <w:r w:rsidRPr="00113309">
        <w:t>Нормативы градостроительного проектирования в сфере охраны окружающей среды.</w:t>
      </w:r>
      <w:bookmarkEnd w:id="317"/>
      <w:bookmarkEnd w:id="318"/>
    </w:p>
    <w:p w:rsidR="008D20DC" w:rsidRPr="00113309" w:rsidRDefault="008D20DC" w:rsidP="00CF5B5C">
      <w:pPr>
        <w:pStyle w:val="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22" w:name="_Ref375751625"/>
      <w:r w:rsidRPr="00113309">
        <w:t xml:space="preserve">Таблица </w:t>
      </w:r>
      <w:bookmarkEnd w:id="322"/>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23" w:name="_Toc388452043"/>
            <w:bookmarkStart w:id="324" w:name="_Toc389132916"/>
            <w:bookmarkStart w:id="325" w:name="_Toc393700514"/>
            <w:r w:rsidRPr="0042502E">
              <w:rPr>
                <w:rFonts w:eastAsia="Calibri"/>
              </w:rPr>
              <w:t>0,8 ПДК</w:t>
            </w:r>
            <w:bookmarkEnd w:id="323"/>
            <w:bookmarkEnd w:id="324"/>
            <w:bookmarkEnd w:id="325"/>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8D20DC" w:rsidRPr="00113309" w:rsidRDefault="008D20DC" w:rsidP="00CF5B5C">
      <w:pPr>
        <w:pStyle w:val="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29" w:name="_Ref388450594"/>
      <w:r w:rsidRPr="00113309">
        <w:lastRenderedPageBreak/>
        <w:t xml:space="preserve">Таблица </w:t>
      </w:r>
      <w:bookmarkEnd w:id="329"/>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30" w:name="_Toc389132918"/>
      <w:bookmarkStart w:id="331" w:name="_Toc393700516"/>
      <w:r w:rsidRPr="00113309">
        <w:t>Регулирование микроклимата</w:t>
      </w:r>
      <w:bookmarkEnd w:id="330"/>
      <w:bookmarkEnd w:id="331"/>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34" w:name="_Toc389132912"/>
      <w:bookmarkStart w:id="335" w:name="_Toc393700518"/>
      <w:r w:rsidRPr="00113309">
        <w:t>Нормативные требования к застройке территорий мест</w:t>
      </w:r>
      <w:r w:rsidRPr="00113309">
        <w:t>о</w:t>
      </w:r>
      <w:r w:rsidRPr="00113309">
        <w:t>рождений полезных ископаемых.</w:t>
      </w:r>
      <w:bookmarkEnd w:id="334"/>
      <w:bookmarkEnd w:id="335"/>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36" w:name="_Toc389132920"/>
      <w:bookmarkStart w:id="337" w:name="_Toc393700519"/>
      <w:r w:rsidRPr="00113309">
        <w:lastRenderedPageBreak/>
        <w:t>Нормативные требования к охране объектов культурного наследия при градостроительном проектировании.</w:t>
      </w:r>
      <w:bookmarkEnd w:id="336"/>
      <w:bookmarkEnd w:id="337"/>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w:t>
      </w:r>
      <w:r w:rsidRPr="00113309">
        <w:lastRenderedPageBreak/>
        <w:t>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38" w:name="_Toc389132824"/>
      <w:bookmarkStart w:id="339"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A378F9" w:rsidRPr="00113309" w:rsidRDefault="00A378F9" w:rsidP="00CF5B5C">
      <w:pPr>
        <w:pStyle w:val="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44"/>
      <w:bookmarkEnd w:id="345"/>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46" w:name="_Toc389132828"/>
      <w:bookmarkStart w:id="347" w:name="_Toc393700524"/>
      <w:r w:rsidRPr="00113309">
        <w:lastRenderedPageBreak/>
        <w:t>Размеры земельных участков лечебно-оздоровительных местностей и курортов местного значения</w:t>
      </w:r>
      <w:bookmarkEnd w:id="346"/>
      <w:bookmarkEnd w:id="347"/>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8" w:name="_Toc389132829"/>
      <w:bookmarkStart w:id="349" w:name="_Toc393700525"/>
      <w:r w:rsidRPr="00113309">
        <w:t>Расстояние от границ земельных участков вновь проектируемых санаторно-курортных и оздоровительных организаций</w:t>
      </w:r>
      <w:bookmarkEnd w:id="348"/>
      <w:bookmarkEnd w:id="349"/>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50" w:name="_Toc389132830"/>
      <w:bookmarkStart w:id="351" w:name="_Toc393700526"/>
      <w:r w:rsidRPr="00113309">
        <w:t>Размеры территорий пляжей, размещаемых в курортных зонах</w:t>
      </w:r>
      <w:bookmarkEnd w:id="350"/>
      <w:bookmarkEnd w:id="351"/>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4" w:name="_Toc389132832"/>
      <w:bookmarkStart w:id="355" w:name="_Toc393700528"/>
      <w:r w:rsidRPr="00113309">
        <w:t>Размеры территории специализированных лечебных пляжей для лечащихся с ограниченной подвижностью</w:t>
      </w:r>
      <w:bookmarkEnd w:id="354"/>
      <w:bookmarkEnd w:id="355"/>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lastRenderedPageBreak/>
        <w:t>для пляжей отдыхающих без путевок:  0,5.</w:t>
      </w:r>
    </w:p>
    <w:p w:rsidR="00A378F9" w:rsidRPr="00113309" w:rsidRDefault="00A378F9" w:rsidP="00CF5B5C">
      <w:pPr>
        <w:pStyle w:val="1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A378F9" w:rsidRPr="00113309" w:rsidRDefault="00A378F9" w:rsidP="00CF5B5C">
      <w:pPr>
        <w:pStyle w:val="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62" w:name="_Toc389132841"/>
      <w:bookmarkStart w:id="363" w:name="_Toc393700532"/>
      <w:r w:rsidRPr="00113309">
        <w:t>Требования к размещению зоны отдыха в условиях котловинности горного рельефа</w:t>
      </w:r>
      <w:bookmarkEnd w:id="362"/>
      <w:bookmarkEnd w:id="363"/>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64" w:name="_Toc389132842"/>
      <w:bookmarkStart w:id="365" w:name="_Toc393700533"/>
      <w:r w:rsidRPr="00113309">
        <w:t>Нормативы транспортной доступности зон массового кратковременного отдыха</w:t>
      </w:r>
      <w:bookmarkEnd w:id="364"/>
      <w:bookmarkEnd w:id="365"/>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66" w:name="_Toc389132843"/>
      <w:bookmarkStart w:id="367" w:name="_Toc393700534"/>
      <w:r w:rsidRPr="00113309">
        <w:t>Размеры территорий зон отдыха</w:t>
      </w:r>
      <w:bookmarkEnd w:id="366"/>
      <w:bookmarkEnd w:id="367"/>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8" w:name="_Toc389132844"/>
      <w:bookmarkStart w:id="369" w:name="_Toc393700535"/>
      <w:r w:rsidRPr="00113309">
        <w:t>Размеры территорий пляжей, размещаемых в зонах  отдыха</w:t>
      </w:r>
      <w:bookmarkEnd w:id="368"/>
      <w:bookmarkEnd w:id="369"/>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lastRenderedPageBreak/>
        <w:t>Пляжи общего пользования для местного населения: 0,2.</w:t>
      </w:r>
    </w:p>
    <w:p w:rsidR="00437E9E" w:rsidRPr="00113309" w:rsidRDefault="00437E9E" w:rsidP="00CF5B5C">
      <w:pPr>
        <w:pStyle w:val="1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437E9E" w:rsidRPr="00113309" w:rsidRDefault="00437E9E" w:rsidP="00CF5B5C">
      <w:pPr>
        <w:pStyle w:val="2"/>
        <w:rPr>
          <w:lang w:val="en-US"/>
        </w:rPr>
      </w:pPr>
      <w:bookmarkStart w:id="375" w:name="_Toc393700539"/>
      <w:r w:rsidRPr="00113309">
        <w:t>Уровень жилищной обеспеченности</w:t>
      </w:r>
      <w:bookmarkEnd w:id="375"/>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76"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76"/>
      <w:r w:rsidR="00F335C1" w:rsidRPr="00113309">
        <w:t xml:space="preserve"> </w:t>
      </w:r>
    </w:p>
    <w:p w:rsidR="00D165FF" w:rsidRPr="00113309" w:rsidRDefault="00D165FF" w:rsidP="00CF5B5C">
      <w:pPr>
        <w:pStyle w:val="2"/>
      </w:pPr>
      <w:bookmarkStart w:id="377" w:name="_Toc393700541"/>
      <w:r w:rsidRPr="00113309">
        <w:t>Объекты связи</w:t>
      </w:r>
      <w:bookmarkEnd w:id="377"/>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8" w:name="_Ref375751700"/>
      <w:r w:rsidRPr="00113309">
        <w:lastRenderedPageBreak/>
        <w:t xml:space="preserve">Таблица </w:t>
      </w:r>
      <w:bookmarkEnd w:id="378"/>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79" w:name="_Toc393700542"/>
      <w:r w:rsidRPr="00113309">
        <w:t>Инженерные сети</w:t>
      </w:r>
      <w:bookmarkEnd w:id="379"/>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0" w:name="_Ref393704159"/>
      <w:r w:rsidRPr="00113309">
        <w:lastRenderedPageBreak/>
        <w:t xml:space="preserve">Таблица </w:t>
      </w:r>
      <w:bookmarkEnd w:id="380"/>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81" w:name="_Ref375751747"/>
      <w:r w:rsidRPr="00113309">
        <w:t xml:space="preserve">Таблица </w:t>
      </w:r>
      <w:bookmarkEnd w:id="381"/>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82" w:name="_Ref375751764"/>
      <w:r w:rsidRPr="00113309">
        <w:t xml:space="preserve">Таблица </w:t>
      </w:r>
      <w:bookmarkEnd w:id="382"/>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83" w:name="_Ref375751774"/>
      <w:r w:rsidRPr="00113309">
        <w:t xml:space="preserve">Таблица </w:t>
      </w:r>
      <w:bookmarkEnd w:id="383"/>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84" w:name="_Ref375751785"/>
      <w:r w:rsidRPr="00113309">
        <w:t xml:space="preserve">Таблица </w:t>
      </w:r>
      <w:bookmarkEnd w:id="384"/>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85"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85"/>
    </w:p>
    <w:p w:rsidR="00090EE7" w:rsidRPr="00113309" w:rsidRDefault="00090EE7" w:rsidP="003F7045">
      <w:pPr>
        <w:pStyle w:val="a6"/>
      </w:pPr>
      <w:bookmarkStart w:id="386" w:name="_Toc189037952"/>
      <w:r w:rsidRPr="00113309">
        <w:t>1. Общие требования к составу и содержанию генерального плана поселений</w:t>
      </w:r>
      <w:bookmarkEnd w:id="386"/>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87" w:name="_Toc343164843"/>
      <w:r w:rsidRPr="00113309">
        <w:t>3.1.10. Пояснительная записка материалов по обоснованию включает описание:</w:t>
      </w:r>
      <w:bookmarkEnd w:id="387"/>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AF" w:rsidRDefault="00AE77AF">
      <w:r>
        <w:separator/>
      </w:r>
    </w:p>
    <w:p w:rsidR="00AE77AF" w:rsidRDefault="00AE77AF"/>
  </w:endnote>
  <w:endnote w:type="continuationSeparator" w:id="0">
    <w:p w:rsidR="00AE77AF" w:rsidRDefault="00AE77AF">
      <w:r>
        <w:continuationSeparator/>
      </w:r>
    </w:p>
    <w:p w:rsidR="00AE77AF" w:rsidRDefault="00AE77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E77AF" w:rsidRPr="00AE77AF">
      <w:rPr>
        <w:rFonts w:ascii="Times New Roman" w:hAnsi="Times New Roman"/>
        <w:noProof/>
        <w:sz w:val="22"/>
        <w:szCs w:val="22"/>
        <w:lang w:val="de-DE"/>
      </w:rPr>
      <w:t>12</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E77AF" w:rsidRPr="00AE77AF">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AE77AF" w:rsidRPr="00AE77AF">
      <w:rPr>
        <w:rFonts w:ascii="Times New Roman" w:hAnsi="Times New Roman"/>
        <w:noProof/>
        <w:sz w:val="22"/>
        <w:szCs w:val="22"/>
        <w:lang w:val="de-DE"/>
      </w:rPr>
      <w:t>190</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AF" w:rsidRDefault="00AE77AF">
      <w:r>
        <w:separator/>
      </w:r>
    </w:p>
    <w:p w:rsidR="00AE77AF" w:rsidRDefault="00AE77AF"/>
  </w:footnote>
  <w:footnote w:type="continuationSeparator" w:id="0">
    <w:p w:rsidR="00AE77AF" w:rsidRDefault="00AE77AF">
      <w:r>
        <w:continuationSeparator/>
      </w:r>
    </w:p>
    <w:p w:rsidR="00AE77AF" w:rsidRDefault="00AE77AF"/>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7AF"/>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BC55-AD64-4A3D-B8C0-DDB7A29B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262</Pages>
  <Words>59605</Words>
  <Characters>339755</Characters>
  <Application>Microsoft Office Word</Application>
  <DocSecurity>0</DocSecurity>
  <Lines>2831</Lines>
  <Paragraphs>797</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398563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1</cp:revision>
  <cp:lastPrinted>2011-12-21T11:36:00Z</cp:lastPrinted>
  <dcterms:created xsi:type="dcterms:W3CDTF">2015-08-06T04:12:00Z</dcterms:created>
  <dcterms:modified xsi:type="dcterms:W3CDTF">2015-08-06T04:14:00Z</dcterms:modified>
</cp:coreProperties>
</file>