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Хребтовского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1B0206">
      <w:pPr>
        <w:tabs>
          <w:tab w:val="center" w:pos="4677"/>
          <w:tab w:val="right" w:pos="9355"/>
        </w:tabs>
        <w:rPr>
          <w:b/>
          <w:lang/>
        </w:rPr>
      </w:pPr>
    </w:p>
    <w:p w:rsidR="00064FA1" w:rsidRDefault="00064FA1"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Хребтовского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037AB0">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r>
            <w:proofErr w:type="gramStart"/>
            <w:r w:rsidRPr="009539DD">
              <w:rPr>
                <w:rFonts w:ascii="Times New Roman" w:hAnsi="Times New Roman" w:cs="Times New Roman"/>
                <w:sz w:val="22"/>
                <w:szCs w:val="22"/>
              </w:rPr>
              <w:t>п</w:t>
            </w:r>
            <w:proofErr w:type="gramEnd"/>
            <w:r w:rsidRPr="009539DD">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r>
            <w:proofErr w:type="gramStart"/>
            <w:r w:rsidRPr="00113309">
              <w:rPr>
                <w:rFonts w:ascii="Times New Roman" w:hAnsi="Times New Roman" w:cs="Times New Roman"/>
                <w:sz w:val="22"/>
                <w:szCs w:val="22"/>
              </w:rPr>
              <w:t>п</w:t>
            </w:r>
            <w:proofErr w:type="gramEnd"/>
            <w:r w:rsidRPr="00113309">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113309">
        <w:t>га</w:t>
      </w:r>
      <w:proofErr w:type="gramEnd"/>
      <w:r w:rsidRPr="00113309">
        <w:t xml:space="preserve">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 xml:space="preserve">обслуживаемого населения). </w:t>
      </w:r>
      <w:proofErr w:type="gramStart"/>
      <w:r w:rsidRPr="00113309">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13309">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w:t>
            </w:r>
            <w:proofErr w:type="gramStart"/>
            <w:r w:rsidRPr="00113309">
              <w:rPr>
                <w:rFonts w:ascii="Times New Roman" w:hAnsi="Times New Roman" w:cs="Times New Roman"/>
                <w:b/>
              </w:rPr>
              <w:t>.м</w:t>
            </w:r>
            <w:proofErr w:type="gramEnd"/>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13309">
        <w:rPr>
          <w:rFonts w:ascii="Times New Roman" w:hAnsi="Times New Roman" w:cs="Times New Roman"/>
        </w:rPr>
        <w:t>га</w:t>
      </w:r>
      <w:proofErr w:type="gramEnd"/>
      <w:r w:rsidRPr="00113309">
        <w:rPr>
          <w:rFonts w:ascii="Times New Roman" w:hAnsi="Times New Roman" w:cs="Times New Roman"/>
        </w:rPr>
        <w:t>.</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w:t>
      </w:r>
      <w:proofErr w:type="gramStart"/>
      <w:r w:rsidRPr="003A2B05">
        <w:rPr>
          <w:rFonts w:ascii="Times New Roman" w:hAnsi="Times New Roman" w:cs="Times New Roman"/>
          <w:sz w:val="20"/>
          <w:szCs w:val="20"/>
        </w:rPr>
        <w:t>2</w:t>
      </w:r>
      <w:proofErr w:type="gramEnd"/>
      <w:r w:rsidRPr="003A2B05">
        <w:rPr>
          <w:rFonts w:ascii="Times New Roman" w:hAnsi="Times New Roman" w:cs="Times New Roman"/>
          <w:sz w:val="20"/>
          <w:szCs w:val="20"/>
        </w:rPr>
        <w:t>.</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3A2B05">
        <w:rPr>
          <w:rFonts w:ascii="Times New Roman" w:hAnsi="Times New Roman" w:cs="Times New Roman"/>
          <w:vertAlign w:val="superscript"/>
        </w:rPr>
        <w:t>2</w:t>
      </w:r>
      <w:proofErr w:type="gramEnd"/>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13309">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proofErr w:type="gramStart"/>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113309">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proofErr w:type="gramStart"/>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w:t>
      </w:r>
      <w:proofErr w:type="gramEnd"/>
      <w:r w:rsidRPr="00113309">
        <w:t xml:space="preserve">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cs="Times New Roman"/>
          <w:vertAlign w:val="superscript"/>
        </w:rPr>
        <w:t>2</w:t>
      </w:r>
      <w:proofErr w:type="gramEnd"/>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proofErr w:type="gramStart"/>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13309">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113309">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proofErr w:type="gramStart"/>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proofErr w:type="gramStart"/>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13309">
        <w:t>2</w:t>
      </w:r>
      <w:proofErr w:type="gramEnd"/>
      <w:r w:rsidRPr="00113309">
        <w:t xml:space="preserve">: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roofErr w:type="gramStart"/>
            <w:r w:rsidRPr="00113309">
              <w:rPr>
                <w:b/>
                <w:sz w:val="20"/>
                <w:szCs w:val="20"/>
              </w:rPr>
              <w:t>а</w:t>
            </w:r>
            <w:proofErr w:type="gramEnd"/>
            <w:r w:rsidRPr="00113309">
              <w:rPr>
                <w:b/>
                <w:sz w:val="20"/>
                <w:szCs w:val="20"/>
              </w:rPr>
              <w:t xml:space="preserve">,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III</w:t>
            </w:r>
            <w:proofErr w:type="gramStart"/>
            <w:r w:rsidRPr="00113309">
              <w:rPr>
                <w:sz w:val="20"/>
                <w:szCs w:val="20"/>
              </w:rPr>
              <w:t>а</w:t>
            </w:r>
            <w:proofErr w:type="gramEnd"/>
            <w:r w:rsidRPr="00113309">
              <w:rPr>
                <w:sz w:val="20"/>
                <w:szCs w:val="20"/>
              </w:rPr>
              <w:t xml:space="preserve">,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кр</w:t>
            </w:r>
            <w:proofErr w:type="gramStart"/>
            <w:r w:rsidRPr="00113309">
              <w:rPr>
                <w:b/>
                <w:sz w:val="20"/>
                <w:szCs w:val="20"/>
              </w:rPr>
              <w:t>о-</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proofErr w:type="gramStart"/>
            <w:r w:rsidRPr="00A96ADB">
              <w:rPr>
                <w:rFonts w:ascii="Times New Roman" w:hAnsi="Times New Roman" w:cs="Times New Roman"/>
              </w:rPr>
              <w:lastRenderedPageBreak/>
              <w:t>Для занятий физкультурой (в зависимости</w:t>
            </w:r>
            <w:proofErr w:type="gramEnd"/>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Расстояния от площадок для сушки белья не нормируются; </w:t>
      </w:r>
      <w:proofErr w:type="gramStart"/>
      <w:r w:rsidRPr="00113309">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w:t>
      </w:r>
      <w:proofErr w:type="gramStart"/>
      <w:r w:rsidRPr="00113309">
        <w:t>в первые</w:t>
      </w:r>
      <w:proofErr w:type="gramEnd"/>
      <w:r w:rsidRPr="00113309">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proofErr w:type="gramStart"/>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13309">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13309">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proofErr w:type="gramStart"/>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 xml:space="preserve">В зависимости от использования жилищный фонд подразделяется </w:t>
      </w:r>
      <w:proofErr w:type="gramStart"/>
      <w:r w:rsidRPr="00113309">
        <w:rPr>
          <w:rFonts w:eastAsia="Calibri"/>
        </w:rPr>
        <w:t>на</w:t>
      </w:r>
      <w:proofErr w:type="gramEnd"/>
      <w:r w:rsidRPr="00113309">
        <w:rPr>
          <w:rFonts w:eastAsia="Calibri"/>
        </w:rPr>
        <w:t>:</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 xml:space="preserve">Индивидуальный, в том </w:t>
            </w:r>
            <w:proofErr w:type="gramStart"/>
            <w:r w:rsidRPr="00113309">
              <w:rPr>
                <w:sz w:val="20"/>
                <w:szCs w:val="20"/>
              </w:rPr>
              <w:t>числе</w:t>
            </w:r>
            <w:proofErr w:type="gramEnd"/>
            <w:r w:rsidRPr="00113309">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показатель жилищной обеспеченности </w:t>
            </w:r>
            <w:proofErr w:type="gramStart"/>
            <w:r w:rsidRPr="00113309">
              <w:rPr>
                <w:rFonts w:ascii="Times New Roman" w:hAnsi="Times New Roman" w:cs="Times New Roman"/>
              </w:rPr>
              <w:t>для</w:t>
            </w:r>
            <w:proofErr w:type="gramEnd"/>
            <w:r w:rsidRPr="00113309">
              <w:rPr>
                <w:rFonts w:ascii="Times New Roman" w:hAnsi="Times New Roman" w:cs="Times New Roman"/>
              </w:rPr>
              <w:t xml:space="preserve"> </w:t>
            </w:r>
            <w:proofErr w:type="gramStart"/>
            <w:r w:rsidRPr="00113309">
              <w:rPr>
                <w:rFonts w:ascii="Times New Roman" w:hAnsi="Times New Roman" w:cs="Times New Roman"/>
              </w:rPr>
              <w:t>одно</w:t>
            </w:r>
            <w:proofErr w:type="gramEnd"/>
            <w:r w:rsidRPr="00113309">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proofErr w:type="gramStart"/>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Тонкорунные</w:t>
            </w:r>
            <w:proofErr w:type="gramEnd"/>
            <w:r w:rsidRPr="00113309">
              <w:rPr>
                <w:rFonts w:ascii="Times New Roman" w:hAnsi="Times New Roman" w:cs="Times New Roman"/>
              </w:rPr>
              <w:t xml:space="preserve">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Шубные</w:t>
            </w:r>
            <w:proofErr w:type="gramEnd"/>
            <w:r w:rsidRPr="00113309">
              <w:rPr>
                <w:rFonts w:ascii="Times New Roman" w:hAnsi="Times New Roman" w:cs="Times New Roman"/>
              </w:rPr>
              <w:t xml:space="preserve">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118. </w:t>
            </w:r>
            <w:proofErr w:type="gramStart"/>
            <w:r w:rsidRPr="00113309">
              <w:rPr>
                <w:rFonts w:ascii="Times New Roman" w:hAnsi="Times New Roman" w:cs="Times New Roman"/>
              </w:rPr>
              <w:t>Комбикормовые</w:t>
            </w:r>
            <w:proofErr w:type="gramEnd"/>
            <w:r w:rsidRPr="00113309">
              <w:rPr>
                <w:rFonts w:ascii="Times New Roman" w:hAnsi="Times New Roman" w:cs="Times New Roman"/>
              </w:rPr>
              <w:t xml:space="preserve">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cs="Times New Roman"/>
        </w:rPr>
        <w:t>1</w:t>
      </w:r>
      <w:proofErr w:type="gramEnd"/>
      <w:r w:rsidRPr="00113309">
        <w:rPr>
          <w:rFonts w:ascii="Times New Roman" w:hAnsi="Times New Roman" w:cs="Times New Roman"/>
        </w:rPr>
        <w:t>. При строительстве зданий и сооружений III степени огнестойкости классов С</w:t>
      </w:r>
      <w:proofErr w:type="gramStart"/>
      <w:r w:rsidRPr="00113309">
        <w:rPr>
          <w:rFonts w:ascii="Times New Roman" w:hAnsi="Times New Roman" w:cs="Times New Roman"/>
        </w:rPr>
        <w:t>2</w:t>
      </w:r>
      <w:proofErr w:type="gramEnd"/>
      <w:r w:rsidRPr="00113309">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w:t>
      </w:r>
      <w:proofErr w:type="gramStart"/>
      <w:r w:rsidRPr="0011330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w:t>
      </w:r>
      <w:proofErr w:type="gramStart"/>
      <w:r w:rsidRPr="00113309">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 xml:space="preserve">Для населенных пунктов, находящихся в таежной зоне, также характерен суровый климат с </w:t>
      </w:r>
      <w:proofErr w:type="gramStart"/>
      <w:r w:rsidRPr="00113309">
        <w:t>длительной зимой</w:t>
      </w:r>
      <w:proofErr w:type="gramEnd"/>
      <w:r w:rsidRPr="00113309">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w:t>
      </w:r>
      <w:proofErr w:type="gramEnd"/>
      <w:r w:rsidRPr="00113309">
        <w:t xml:space="preserve">– </w:t>
      </w:r>
      <w:proofErr w:type="gramStart"/>
      <w:r w:rsidRPr="00113309">
        <w:t>М.: Стройиздат,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 xml:space="preserve">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proofErr w:type="gramStart"/>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lastRenderedPageBreak/>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lastRenderedPageBreak/>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 xml:space="preserve">Организации периодического пользования. </w:t>
      </w:r>
      <w:proofErr w:type="gramStart"/>
      <w:r w:rsidRPr="00113309">
        <w:t xml:space="preserve">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w:t>
      </w:r>
      <w:r w:rsidRPr="00113309">
        <w:lastRenderedPageBreak/>
        <w:t>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lastRenderedPageBreak/>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lastRenderedPageBreak/>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 </w:t>
            </w:r>
            <w:proofErr w:type="gramStart"/>
            <w:r w:rsidRPr="00113309">
              <w:rPr>
                <w:b/>
                <w:sz w:val="20"/>
                <w:szCs w:val="20"/>
              </w:rPr>
              <w:t>п</w:t>
            </w:r>
            <w:proofErr w:type="gramEnd"/>
            <w:r w:rsidRPr="00113309">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lastRenderedPageBreak/>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lastRenderedPageBreak/>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lastRenderedPageBreak/>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lastRenderedPageBreak/>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lastRenderedPageBreak/>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Поселки и сельские поселения (без кондиционеров):</w:t>
            </w:r>
          </w:p>
          <w:p w:rsidR="00AB2AA9" w:rsidRPr="00113309" w:rsidRDefault="00AB2AA9"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AB2AA9" w:rsidRPr="00113309" w:rsidRDefault="00AB2AA9"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lastRenderedPageBreak/>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w:t>
      </w:r>
      <w:r w:rsidRPr="00113309">
        <w:lastRenderedPageBreak/>
        <w:t>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w:t>
            </w:r>
            <w:proofErr w:type="gramStart"/>
            <w:r w:rsidRPr="00113309">
              <w:rPr>
                <w:b/>
                <w:sz w:val="20"/>
                <w:szCs w:val="20"/>
              </w:rPr>
              <w:t>С</w:t>
            </w:r>
            <w:proofErr w:type="gramEnd"/>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sidRPr="00113309">
        <w:rPr>
          <w:rFonts w:eastAsia="Calibri"/>
        </w:rPr>
        <w:t>га</w:t>
      </w:r>
      <w:proofErr w:type="gramEnd"/>
      <w:r w:rsidRPr="00113309">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AB2AA9" w:rsidRPr="00113309" w:rsidRDefault="00AB2AA9" w:rsidP="00AB2AA9">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w:t>
      </w:r>
      <w:proofErr w:type="gramStart"/>
      <w:r w:rsidRPr="00113309">
        <w:rPr>
          <w:rFonts w:eastAsia="Calibri"/>
        </w:rPr>
        <w:t>г</w:t>
      </w:r>
      <w:proofErr w:type="gramEnd"/>
      <w:r w:rsidRPr="00113309">
        <w:rPr>
          <w:rFonts w:eastAsia="Calibri"/>
        </w:rPr>
        <w:t>.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AB2AA9" w:rsidRPr="00113309" w:rsidRDefault="00AB2AA9" w:rsidP="00AB2AA9">
      <w:pPr>
        <w:pStyle w:val="af1"/>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w:t>
            </w:r>
            <w:proofErr w:type="gramStart"/>
            <w:r w:rsidRPr="00113309">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w:t>
            </w:r>
            <w:proofErr w:type="gramStart"/>
            <w:r w:rsidRPr="00113309">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w:t>
            </w:r>
            <w:proofErr w:type="gramStart"/>
            <w:r w:rsidRPr="00113309">
              <w:rPr>
                <w:rFonts w:eastAsia="Calibri"/>
                <w:b/>
                <w:sz w:val="20"/>
                <w:szCs w:val="20"/>
              </w:rPr>
              <w:t>2</w:t>
            </w:r>
            <w:proofErr w:type="gramEnd"/>
            <w:r w:rsidRPr="00113309">
              <w:rPr>
                <w:rFonts w:eastAsia="Calibri"/>
                <w:b/>
                <w:sz w:val="20"/>
                <w:szCs w:val="20"/>
              </w:rPr>
              <w:t xml:space="preserve">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113309">
              <w:rPr>
                <w:rFonts w:eastAsia="Calibri"/>
                <w:sz w:val="20"/>
                <w:szCs w:val="20"/>
              </w:rPr>
              <w:t>I</w:t>
            </w:r>
            <w:proofErr w:type="gramEnd"/>
            <w:r w:rsidRPr="00113309">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proofErr w:type="gramStart"/>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w:t>
      </w:r>
      <w:r w:rsidRPr="00113309">
        <w:lastRenderedPageBreak/>
        <w:t>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4"/>
      <w:bookmarkStart w:id="193" w:name="_Toc393700470"/>
      <w:bookmarkStart w:id="194" w:name="_Toc389132861"/>
      <w:bookmarkStart w:id="195"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13309">
        <w:t xml:space="preserve"> О</w:t>
      </w:r>
      <w:proofErr w:type="gramEnd"/>
      <w:r w:rsidRPr="00113309">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w:t>
      </w:r>
      <w:proofErr w:type="gramStart"/>
      <w:r w:rsidRPr="00113309">
        <w:t>сут.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gramStart"/>
      <w:r w:rsidRPr="00113309">
        <w:t>сут.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gramStart"/>
      <w:r w:rsidRPr="00113309">
        <w:t>сут. и</w:t>
      </w:r>
      <w:proofErr w:type="gramEnd"/>
      <w:r w:rsidRPr="00113309">
        <w:t xml:space="preserve">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w:t>
            </w:r>
            <w:proofErr w:type="gramStart"/>
            <w:r w:rsidRPr="00113309">
              <w:rPr>
                <w:b/>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w:t>
            </w:r>
            <w:proofErr w:type="gramStart"/>
            <w:r w:rsidRPr="00113309">
              <w:rPr>
                <w:sz w:val="20"/>
                <w:szCs w:val="20"/>
              </w:rPr>
              <w:t>)д</w:t>
            </w:r>
            <w:proofErr w:type="gramEnd"/>
            <w:r w:rsidRPr="00113309">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 xml:space="preserve">Затраты времени </w:t>
            </w:r>
            <w:proofErr w:type="gramStart"/>
            <w:r w:rsidRPr="00113309">
              <w:rPr>
                <w:sz w:val="20"/>
                <w:szCs w:val="20"/>
              </w:rPr>
              <w:t>на передвижение для ежедневно приезжающих на работу в город-центр из других поселений</w:t>
            </w:r>
            <w:proofErr w:type="gramEnd"/>
            <w:r w:rsidRPr="00113309">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w:t>
            </w:r>
            <w:proofErr w:type="gramStart"/>
            <w:r w:rsidRPr="00113309">
              <w:rPr>
                <w:sz w:val="20"/>
                <w:szCs w:val="20"/>
              </w:rPr>
              <w:t>х(</w:t>
            </w:r>
            <w:proofErr w:type="gramEnd"/>
            <w:r w:rsidRPr="00113309">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w:t>
            </w:r>
            <w:proofErr w:type="gramStart"/>
            <w:r w:rsidRPr="00113309">
              <w:rPr>
                <w:sz w:val="20"/>
                <w:szCs w:val="20"/>
              </w:rPr>
              <w:t>дств к ж</w:t>
            </w:r>
            <w:proofErr w:type="gramEnd"/>
            <w:r w:rsidRPr="00113309">
              <w:rPr>
                <w:sz w:val="20"/>
                <w:szCs w:val="20"/>
              </w:rPr>
              <w:t xml:space="preserve">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proofErr w:type="gramStart"/>
            <w:r w:rsidRPr="00113309">
              <w:rPr>
                <w:b w:val="0"/>
                <w:sz w:val="20"/>
                <w:szCs w:val="20"/>
              </w:rPr>
              <w:t>I</w:t>
            </w:r>
            <w:proofErr w:type="gramEnd"/>
            <w:r w:rsidRPr="00113309">
              <w:rPr>
                <w:b w:val="0"/>
                <w:sz w:val="20"/>
                <w:szCs w:val="20"/>
              </w:rPr>
              <w:t>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w:t>
            </w:r>
            <w:proofErr w:type="gramStart"/>
            <w:r w:rsidRPr="00113309">
              <w:rPr>
                <w:sz w:val="20"/>
                <w:szCs w:val="20"/>
              </w:rPr>
              <w:t>ч</w:t>
            </w:r>
            <w:proofErr w:type="gramEnd"/>
            <w:r w:rsidRPr="00113309">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w:t>
            </w:r>
            <w:proofErr w:type="gramStart"/>
            <w:r w:rsidRPr="00113309">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lastRenderedPageBreak/>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A621BA" w:rsidRPr="00113309" w:rsidRDefault="00A621BA" w:rsidP="00A621BA">
      <w:pPr>
        <w:pStyle w:val="a6"/>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w:t>
      </w:r>
      <w:proofErr w:type="gramStart"/>
      <w:r w:rsidRPr="00113309">
        <w:t>ств дл</w:t>
      </w:r>
      <w:proofErr w:type="gramEnd"/>
      <w:r w:rsidRPr="00113309">
        <w:t>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w:t>
            </w:r>
            <w:proofErr w:type="gramStart"/>
            <w:r w:rsidRPr="00113309">
              <w:rPr>
                <w:sz w:val="20"/>
                <w:szCs w:val="20"/>
              </w:rPr>
              <w:t>.п</w:t>
            </w:r>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CF5B5C">
      <w:pPr>
        <w:pStyle w:val="2"/>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gramStart"/>
            <w:r w:rsidRPr="00113309">
              <w:rPr>
                <w:sz w:val="20"/>
                <w:szCs w:val="20"/>
              </w:rPr>
              <w:t>ед</w:t>
            </w:r>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при интенсивности более 40 ед/ч, а в условиях реконструкции - более 20 ед/</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proofErr w:type="gramStart"/>
      <w:r w:rsidRPr="00113309">
        <w:t>I</w:t>
      </w:r>
      <w:proofErr w:type="gramEnd"/>
      <w:r w:rsidRPr="00113309">
        <w:t xml:space="preserve">Д = 350 м (время подхода к остановке составляет порядка 5 минут);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proofErr w:type="gramStart"/>
            <w:r w:rsidRPr="00113309">
              <w:rPr>
                <w:sz w:val="20"/>
                <w:szCs w:val="20"/>
              </w:rPr>
              <w:t>I</w:t>
            </w:r>
            <w:proofErr w:type="gramEnd"/>
            <w:r w:rsidRPr="00113309">
              <w:rPr>
                <w:sz w:val="20"/>
                <w:szCs w:val="20"/>
              </w:rPr>
              <w:t>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 xml:space="preserve">В климатическом подрайоне </w:t>
            </w:r>
            <w:proofErr w:type="gramStart"/>
            <w:r w:rsidRPr="00113309">
              <w:rPr>
                <w:sz w:val="20"/>
                <w:szCs w:val="20"/>
              </w:rPr>
              <w:t>I</w:t>
            </w:r>
            <w:proofErr w:type="gramEnd"/>
            <w:r w:rsidRPr="00113309">
              <w:rPr>
                <w:sz w:val="20"/>
                <w:szCs w:val="20"/>
              </w:rPr>
              <w:t>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мусороудалению (сбор, хранение, транспортировка и утилизация отходов потребления, строительства и производства), </w:t>
      </w:r>
      <w:r w:rsidRPr="00113309">
        <w:lastRenderedPageBreak/>
        <w:t>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w:t>
      </w:r>
      <w:proofErr w:type="gramStart"/>
      <w:r w:rsidRPr="00113309">
        <w:t>.м</w:t>
      </w:r>
      <w:proofErr w:type="gramEnd"/>
      <w:r w:rsidRPr="00113309">
        <w:t xml:space="preserve">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lastRenderedPageBreak/>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 xml:space="preserve">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w:t>
      </w:r>
      <w:r w:rsidRPr="00113309">
        <w:lastRenderedPageBreak/>
        <w:t>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lastRenderedPageBreak/>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lastRenderedPageBreak/>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lastRenderedPageBreak/>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proofErr w:type="gramStart"/>
        <w:r w:rsidRPr="00113309">
          <w:t>ч</w:t>
        </w:r>
        <w:proofErr w:type="gramEnd"/>
        <w:r w:rsidRPr="00113309">
          <w:t>.1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lastRenderedPageBreak/>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w:t>
      </w:r>
      <w:r w:rsidRPr="00113309">
        <w:lastRenderedPageBreak/>
        <w:t xml:space="preserve">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w:t>
            </w:r>
            <w:r w:rsidRPr="00113309">
              <w:rPr>
                <w:sz w:val="20"/>
                <w:szCs w:val="20"/>
              </w:rPr>
              <w:lastRenderedPageBreak/>
              <w:t>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w:t>
            </w:r>
            <w:r w:rsidRPr="00113309">
              <w:rPr>
                <w:sz w:val="20"/>
                <w:szCs w:val="20"/>
              </w:rPr>
              <w:lastRenderedPageBreak/>
              <w:t>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lastRenderedPageBreak/>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lastRenderedPageBreak/>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w:t>
      </w:r>
      <w:r w:rsidRPr="00113309">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lastRenderedPageBreak/>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 xml:space="preserve">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w:t>
      </w:r>
      <w:r w:rsidRPr="00113309">
        <w:lastRenderedPageBreak/>
        <w:t>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lastRenderedPageBreak/>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w:t>
      </w:r>
      <w:proofErr w:type="gramStart"/>
      <w:r w:rsidRPr="00113309">
        <w:t xml:space="preserve">границ земельных участков, вновь проектируемых санаторно-курортных и оздоровительных организаций </w:t>
      </w:r>
      <w:r w:rsidRPr="00113309">
        <w:rPr>
          <w:lang/>
        </w:rPr>
        <w:t>приняты</w:t>
      </w:r>
      <w:proofErr w:type="gramEnd"/>
      <w:r w:rsidRPr="00113309">
        <w:rPr>
          <w:lang/>
        </w:rPr>
        <w:t xml:space="preserve">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lastRenderedPageBreak/>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7" w:name="_Toc389132832"/>
      <w:bookmarkStart w:id="338"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lastRenderedPageBreak/>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Процент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w:t>
            </w:r>
            <w:proofErr w:type="gramStart"/>
            <w:r w:rsidRPr="00113309">
              <w:rPr>
                <w:sz w:val="20"/>
                <w:szCs w:val="20"/>
              </w:rPr>
              <w:t>,т</w:t>
            </w:r>
            <w:proofErr w:type="gramEnd"/>
            <w:r w:rsidRPr="00113309">
              <w:rPr>
                <w:sz w:val="20"/>
                <w:szCs w:val="20"/>
              </w:rPr>
              <w:t>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lastRenderedPageBreak/>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 xml:space="preserve">1.15.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proofErr w:type="gramStart"/>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roofErr w:type="gramEnd"/>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gramEnd"/>
      <w:r w:rsidRPr="00113309">
        <w:rPr>
          <w:bCs/>
          <w:u w:val="single"/>
        </w:rPr>
        <w:t xml:space="preserve">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gramEnd"/>
      <w:r w:rsidRPr="00113309">
        <w:t xml:space="preserve">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gramEnd"/>
      <w:r w:rsidRPr="00113309">
        <w:t>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 xml:space="preserve">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gramEnd"/>
      <w:r w:rsidRPr="00113309">
        <w:t>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gramEnd"/>
      <w:r w:rsidRPr="00113309">
        <w:t xml:space="preserve">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gramEnd"/>
      <w:r w:rsidRPr="00113309">
        <w:t>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r w:rsidRPr="00113309">
        <w:t>.</w:t>
      </w:r>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CD9" w:rsidRDefault="00127CD9">
      <w:r>
        <w:separator/>
      </w:r>
    </w:p>
    <w:p w:rsidR="00127CD9" w:rsidRDefault="00127CD9"/>
  </w:endnote>
  <w:endnote w:type="continuationSeparator" w:id="0">
    <w:p w:rsidR="00127CD9" w:rsidRDefault="00127CD9">
      <w:r>
        <w:continuationSeparator/>
      </w:r>
    </w:p>
    <w:p w:rsidR="00127CD9" w:rsidRDefault="00127CD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27CD9" w:rsidRPr="00127CD9">
      <w:rPr>
        <w:rFonts w:ascii="Times New Roman" w:hAnsi="Times New Roman"/>
        <w:noProof/>
        <w:sz w:val="22"/>
        <w:szCs w:val="22"/>
        <w:lang w:val="de-DE"/>
      </w:rPr>
      <w:t>3</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27CD9" w:rsidRPr="00127CD9">
      <w:rPr>
        <w:rFonts w:ascii="Times New Roman" w:hAnsi="Times New Roman"/>
        <w:noProof/>
        <w:sz w:val="22"/>
        <w:szCs w:val="22"/>
        <w:lang w:val="de-DE"/>
      </w:rPr>
      <w:t>72</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27CD9" w:rsidRPr="00127CD9">
      <w:rPr>
        <w:rFonts w:ascii="Times New Roman" w:hAnsi="Times New Roman"/>
        <w:noProof/>
        <w:sz w:val="22"/>
        <w:szCs w:val="22"/>
        <w:lang w:val="de-DE"/>
      </w:rPr>
      <w:t>132</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27CD9" w:rsidRPr="00127CD9">
      <w:rPr>
        <w:rFonts w:ascii="Times New Roman" w:hAnsi="Times New Roman"/>
        <w:noProof/>
        <w:sz w:val="22"/>
        <w:szCs w:val="22"/>
        <w:lang w:val="de-DE"/>
      </w:rPr>
      <w:t>134</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27CD9" w:rsidRPr="00127CD9">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CD9" w:rsidRDefault="00127CD9">
      <w:r>
        <w:separator/>
      </w:r>
    </w:p>
    <w:p w:rsidR="00127CD9" w:rsidRDefault="00127CD9"/>
  </w:footnote>
  <w:footnote w:type="continuationSeparator" w:id="0">
    <w:p w:rsidR="00127CD9" w:rsidRDefault="00127CD9">
      <w:r>
        <w:continuationSeparator/>
      </w:r>
    </w:p>
    <w:p w:rsidR="00127CD9" w:rsidRDefault="00127CD9"/>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27CD9"/>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B55F7-0013-49ED-8F12-479A5EA4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155</Pages>
  <Words>58946</Words>
  <Characters>335998</Characters>
  <Application>Microsoft Office Word</Application>
  <DocSecurity>0</DocSecurity>
  <Lines>2799</Lines>
  <Paragraphs>788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394156</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cp:revision>
  <cp:lastPrinted>2011-12-21T11:36:00Z</cp:lastPrinted>
  <dcterms:created xsi:type="dcterms:W3CDTF">2015-08-06T04:14:00Z</dcterms:created>
  <dcterms:modified xsi:type="dcterms:W3CDTF">2015-08-06T04:18:00Z</dcterms:modified>
</cp:coreProperties>
</file>