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Pr="0059473B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28625" cy="533400"/>
            <wp:effectExtent l="19050" t="0" r="9525" b="0"/>
            <wp:docPr id="6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20.08.2024 г.         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с.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№ 752-п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Об определении рабочих мест осужденным к исправительным и обязательным работам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473B" w:rsidRPr="0059473B" w:rsidRDefault="0059473B" w:rsidP="0059473B">
      <w:pPr>
        <w:spacing w:after="0" w:line="240" w:lineRule="auto"/>
        <w:ind w:firstLine="90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ст. 49, 50 Уголовного кодекса Российской Федерации, ст. ст. 25, 39 Уголовного исполнительного кодекса Российской Федерации, руководствуясь ст. ст. 7, 43, 47 Устава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1.   Утвердить виды обязательных работ на территории муниципального образования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согласно приложению № 1.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2.   Утвердить перечень организаций для приема на работу осужденных к исправительным работам согласно приложению № 2.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3.   Утвердить перечень организаций для приема на работу осужденных к обязательным работам согласно приложению № 3.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07.06.2022 № 491-п «Об определении рабочих мест осужденным к исправительным и обязательным работам».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5.  Контроль за исполнением настоящего постановления возложить на</w:t>
      </w:r>
      <w:proofErr w:type="gram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П</w:t>
      </w:r>
      <w:proofErr w:type="gram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Любима.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6.  Опубликовать постановление в Официальном вестнике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59473B" w:rsidRPr="0059473B" w:rsidRDefault="0059473B" w:rsidP="005947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>7. Постановление вступает в силу в день, следующим за днем официального опубликования.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9473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</w:t>
      </w:r>
      <w:r w:rsidRPr="0059473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А.С. Медведев</w:t>
      </w:r>
    </w:p>
    <w:p w:rsidR="0059473B" w:rsidRPr="0059473B" w:rsidRDefault="0059473B" w:rsidP="0059473B">
      <w:pPr>
        <w:spacing w:after="0" w:line="240" w:lineRule="auto"/>
        <w:ind w:left="6521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Приложение № 1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947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от   20.08.2024 № 752-п</w:t>
      </w:r>
    </w:p>
    <w:p w:rsidR="0059473B" w:rsidRPr="0059473B" w:rsidRDefault="0059473B" w:rsidP="0059473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Виды обязательных работ на территории муниципального образования </w:t>
      </w:r>
      <w:proofErr w:type="spellStart"/>
      <w:r w:rsidRPr="0059473B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 района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Работы в сфере благоустройства:</w:t>
      </w:r>
    </w:p>
    <w:p w:rsidR="0059473B" w:rsidRPr="0059473B" w:rsidRDefault="0059473B" w:rsidP="005947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очистка территории от мусора;</w:t>
      </w:r>
    </w:p>
    <w:p w:rsidR="0059473B" w:rsidRPr="0059473B" w:rsidRDefault="0059473B" w:rsidP="005947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озеленение.</w:t>
      </w:r>
    </w:p>
    <w:p w:rsidR="0059473B" w:rsidRPr="0059473B" w:rsidRDefault="0059473B" w:rsidP="005947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Работы по эксплуатации объектов жилищно-коммунального хозяйства:</w:t>
      </w:r>
    </w:p>
    <w:p w:rsidR="0059473B" w:rsidRPr="0059473B" w:rsidRDefault="0059473B" w:rsidP="005947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уборка придомовых территорий, чердачных и подвальных помещений;</w:t>
      </w:r>
    </w:p>
    <w:p w:rsidR="0059473B" w:rsidRPr="0059473B" w:rsidRDefault="0059473B" w:rsidP="0059473B">
      <w:pPr>
        <w:spacing w:after="0" w:line="240" w:lineRule="auto"/>
        <w:ind w:left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санитарная очистка территорий и контейнерных площадок от мусора и твердых бытовых отходов.</w:t>
      </w:r>
    </w:p>
    <w:p w:rsidR="0059473B" w:rsidRPr="0059473B" w:rsidRDefault="0059473B" w:rsidP="0059473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>Иные общественно-полезные работы, не требующие предварительной, профессиональной подготовки.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Согласовано: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lastRenderedPageBreak/>
        <w:t xml:space="preserve">Старший Инспектор </w:t>
      </w:r>
      <w:proofErr w:type="spellStart"/>
      <w:r w:rsidRPr="005947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межмуниципального филиала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ФКУ УИИ ГУФСИН России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по Красноярскому краю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капитан внутренней службы 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К.О. </w:t>
      </w:r>
      <w:proofErr w:type="spellStart"/>
      <w:r w:rsidRPr="0059473B">
        <w:rPr>
          <w:rFonts w:ascii="Arial" w:eastAsia="Times New Roman" w:hAnsi="Arial" w:cs="Arial"/>
          <w:sz w:val="18"/>
          <w:szCs w:val="20"/>
          <w:lang w:eastAsia="ru-RU"/>
        </w:rPr>
        <w:t>Баканач</w:t>
      </w:r>
      <w:proofErr w:type="spellEnd"/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" 20 " августа 2024г.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947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947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9473B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59473B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947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i/>
          <w:color w:val="1F497D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от 20.08.2024 № 752-п</w:t>
      </w:r>
    </w:p>
    <w:p w:rsidR="0059473B" w:rsidRPr="0059473B" w:rsidRDefault="0059473B" w:rsidP="0059473B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59473B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End"/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 Е Р Е Ч Е Н Ь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организаций для приема на работу осужденных 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59473B">
        <w:rPr>
          <w:rFonts w:ascii="Arial" w:eastAsia="Times New Roman" w:hAnsi="Arial" w:cs="Arial"/>
          <w:sz w:val="20"/>
          <w:szCs w:val="20"/>
          <w:lang w:eastAsia="ru-RU"/>
        </w:rPr>
        <w:t xml:space="preserve">к исправительным работам </w:t>
      </w:r>
    </w:p>
    <w:p w:rsidR="0059473B" w:rsidRPr="0059473B" w:rsidRDefault="0059473B" w:rsidP="0059473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9"/>
        <w:tblW w:w="5000" w:type="pct"/>
        <w:tblLook w:val="04A0"/>
      </w:tblPr>
      <w:tblGrid>
        <w:gridCol w:w="546"/>
        <w:gridCol w:w="9025"/>
      </w:tblGrid>
      <w:tr w:rsidR="0059473B" w:rsidRPr="0059473B" w:rsidTr="00337574">
        <w:tc>
          <w:tcPr>
            <w:tcW w:w="28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Наименование организации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Ангарский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ЛесСервис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» (п. </w:t>
            </w:r>
            <w:proofErr w:type="gramStart"/>
            <w:r w:rsidRPr="0059473B">
              <w:rPr>
                <w:rFonts w:ascii="Arial" w:hAnsi="Arial" w:cs="Arial"/>
                <w:sz w:val="14"/>
                <w:szCs w:val="14"/>
              </w:rPr>
              <w:t>Ангарский</w:t>
            </w:r>
            <w:proofErr w:type="gramEnd"/>
            <w:r w:rsidRPr="0059473B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Карабульский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ЖБИ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«Максим»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«СИБЛЕСТРАНС»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СК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Адамаск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БМУП «Районное АТП»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Краслесинвест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«Баланс»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АйСиЭм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Вуд»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Теплосервис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ГППК (Центр развития коммунального комплекса)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ИП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Буторин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Александр Борисович 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, Гремучий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"Мария"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«Лес Сибири»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Бибик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Андрей Владимирович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Форестер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"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Осиновый Мыс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ИП Шаляпин Игорь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Аликович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ИП Андреевский  Степан Андреевич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ИП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Мереакре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Владимир Леонтьевич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Кичаев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Виталий Викторович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Таежный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 «Медео»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ООО «ТС Командор»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Минаваров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Шухратжон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Шавкатович</w:t>
            </w:r>
            <w:proofErr w:type="spellEnd"/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"Реал-Лес"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КрасЭКо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«РИАЛ-ЛЕС»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Хребтовый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"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Чиба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"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Чунояр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ООО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Каймира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»</w:t>
            </w:r>
            <w:r w:rsidRPr="0059473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715" w:type="pct"/>
            <w:vAlign w:val="center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ОО «Медео»</w:t>
            </w:r>
          </w:p>
        </w:tc>
      </w:tr>
      <w:tr w:rsidR="0059473B" w:rsidRPr="0059473B" w:rsidTr="00337574">
        <w:tc>
          <w:tcPr>
            <w:tcW w:w="285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15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КГУ «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Лесопожарный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центр»</w:t>
            </w:r>
          </w:p>
        </w:tc>
      </w:tr>
    </w:tbl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>Согласовано: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Старший Инспектор </w:t>
      </w:r>
      <w:proofErr w:type="spellStart"/>
      <w:r w:rsidRPr="0059473B">
        <w:rPr>
          <w:rFonts w:ascii="Arial" w:eastAsia="Times New Roman" w:hAnsi="Arial" w:cs="Arial"/>
          <w:sz w:val="16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межмуниципального филиала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ФКУ УИИ ГУФСИН России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>по Красноярскому краю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капитан внутренней службы 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                           К.О. </w:t>
      </w:r>
      <w:proofErr w:type="spellStart"/>
      <w:r w:rsidRPr="0059473B">
        <w:rPr>
          <w:rFonts w:ascii="Arial" w:eastAsia="Times New Roman" w:hAnsi="Arial" w:cs="Arial"/>
          <w:sz w:val="16"/>
          <w:szCs w:val="20"/>
          <w:lang w:eastAsia="ru-RU"/>
        </w:rPr>
        <w:t>Баканач</w:t>
      </w:r>
      <w:proofErr w:type="spellEnd"/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lastRenderedPageBreak/>
        <w:t>" 20 " августа 2024г.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59473B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59473B" w:rsidRPr="0059473B" w:rsidRDefault="0059473B" w:rsidP="0059473B">
      <w:pPr>
        <w:spacing w:after="0" w:line="240" w:lineRule="auto"/>
        <w:ind w:left="6521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59473B">
        <w:rPr>
          <w:rFonts w:ascii="Arial" w:eastAsia="Times New Roman" w:hAnsi="Arial" w:cs="Arial"/>
          <w:sz w:val="18"/>
          <w:szCs w:val="20"/>
          <w:lang w:eastAsia="ru-RU"/>
        </w:rPr>
        <w:t xml:space="preserve">от   20.08.2024 № 752-п  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9"/>
        <w:tblW w:w="5000" w:type="pct"/>
        <w:tblLook w:val="04A0"/>
      </w:tblPr>
      <w:tblGrid>
        <w:gridCol w:w="534"/>
        <w:gridCol w:w="9037"/>
      </w:tblGrid>
      <w:tr w:rsidR="0059473B" w:rsidRPr="0059473B" w:rsidTr="00337574">
        <w:tc>
          <w:tcPr>
            <w:tcW w:w="279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№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Наименование организации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Ангарский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Администрация Ангарского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Артюгино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Артюгинского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Беляки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Белякинского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Карабула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почтамп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ФГУП "Почта России"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Говорково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Говорковского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Красногорьевский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>, Гремучий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Красногорьевского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Манзя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Манзенского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Невонка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Невонского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Нижнетерянск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Нижнетерянского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Новохайский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Новохайского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Октябрьский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Администрация Октябрьского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Осиновый Мыс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Осиновомысского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Пинчуга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Пинчугского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Таежный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Таежнинского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Такучет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Такучетского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Хребтовый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Хребтовского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>Чунояр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Чуноярского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  <w:vAlign w:val="center"/>
          </w:tcPr>
          <w:p w:rsidR="0059473B" w:rsidRPr="0059473B" w:rsidRDefault="0059473B" w:rsidP="0033757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Шиверский</w:t>
            </w:r>
            <w:proofErr w:type="spellEnd"/>
          </w:p>
        </w:tc>
      </w:tr>
      <w:tr w:rsidR="0059473B" w:rsidRPr="0059473B" w:rsidTr="00337574">
        <w:tc>
          <w:tcPr>
            <w:tcW w:w="279" w:type="pct"/>
          </w:tcPr>
          <w:p w:rsidR="0059473B" w:rsidRPr="0059473B" w:rsidRDefault="0059473B" w:rsidP="0033757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721" w:type="pct"/>
          </w:tcPr>
          <w:p w:rsidR="0059473B" w:rsidRPr="0059473B" w:rsidRDefault="0059473B" w:rsidP="00337574">
            <w:pPr>
              <w:rPr>
                <w:rFonts w:ascii="Arial" w:hAnsi="Arial" w:cs="Arial"/>
                <w:sz w:val="14"/>
                <w:szCs w:val="14"/>
              </w:rPr>
            </w:pPr>
            <w:r w:rsidRPr="0059473B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59473B">
              <w:rPr>
                <w:rFonts w:ascii="Arial" w:hAnsi="Arial" w:cs="Arial"/>
                <w:sz w:val="14"/>
                <w:szCs w:val="14"/>
              </w:rPr>
              <w:t>Шиверского</w:t>
            </w:r>
            <w:proofErr w:type="spellEnd"/>
            <w:r w:rsidRPr="0059473B">
              <w:rPr>
                <w:rFonts w:ascii="Arial" w:hAnsi="Arial" w:cs="Arial"/>
                <w:sz w:val="14"/>
                <w:szCs w:val="14"/>
              </w:rPr>
              <w:t xml:space="preserve"> сельсовета</w:t>
            </w:r>
          </w:p>
        </w:tc>
      </w:tr>
    </w:tbl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>Согласовано: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Старший Инспектор </w:t>
      </w:r>
      <w:proofErr w:type="spellStart"/>
      <w:r w:rsidRPr="0059473B">
        <w:rPr>
          <w:rFonts w:ascii="Arial" w:eastAsia="Times New Roman" w:hAnsi="Arial" w:cs="Arial"/>
          <w:sz w:val="16"/>
          <w:szCs w:val="20"/>
          <w:lang w:eastAsia="ru-RU"/>
        </w:rPr>
        <w:t>Богучанского</w:t>
      </w:r>
      <w:proofErr w:type="spellEnd"/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межмуниципального филиала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ФКУ УИИ ГУФСИН России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>по Красноярскому краю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капитан внутренней службы  </w:t>
      </w:r>
    </w:p>
    <w:p w:rsidR="0059473B" w:rsidRPr="0059473B" w:rsidRDefault="0059473B" w:rsidP="0059473B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                           К.О. </w:t>
      </w:r>
      <w:proofErr w:type="spellStart"/>
      <w:r w:rsidRPr="0059473B">
        <w:rPr>
          <w:rFonts w:ascii="Arial" w:eastAsia="Times New Roman" w:hAnsi="Arial" w:cs="Arial"/>
          <w:sz w:val="16"/>
          <w:szCs w:val="20"/>
          <w:lang w:eastAsia="ru-RU"/>
        </w:rPr>
        <w:t>Баканач</w:t>
      </w:r>
      <w:proofErr w:type="spellEnd"/>
      <w:r w:rsidRPr="0059473B">
        <w:rPr>
          <w:rFonts w:ascii="Arial" w:eastAsia="Times New Roman" w:hAnsi="Arial" w:cs="Arial"/>
          <w:sz w:val="16"/>
          <w:szCs w:val="20"/>
          <w:lang w:eastAsia="ru-RU"/>
        </w:rPr>
        <w:t xml:space="preserve"> </w:t>
      </w:r>
    </w:p>
    <w:p w:rsidR="0059473B" w:rsidRPr="0059473B" w:rsidRDefault="0059473B" w:rsidP="0059473B">
      <w:pPr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  <w:r w:rsidRPr="0059473B">
        <w:rPr>
          <w:rFonts w:ascii="Arial" w:eastAsia="Times New Roman" w:hAnsi="Arial" w:cs="Arial"/>
          <w:sz w:val="16"/>
          <w:szCs w:val="20"/>
          <w:lang w:eastAsia="ru-RU"/>
        </w:rPr>
        <w:t>" 20 " августа 2024г.</w:t>
      </w:r>
    </w:p>
    <w:p w:rsidR="00341EF7" w:rsidRDefault="0059473B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42E84"/>
    <w:multiLevelType w:val="hybridMultilevel"/>
    <w:tmpl w:val="E3E6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73B"/>
    <w:rsid w:val="000178B3"/>
    <w:rsid w:val="0059435E"/>
    <w:rsid w:val="0059473B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9">
    <w:name w:val="Сетка таблицы79"/>
    <w:basedOn w:val="a1"/>
    <w:next w:val="a3"/>
    <w:uiPriority w:val="39"/>
    <w:rsid w:val="00594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47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594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5947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2024-09-18T08:33:00Z</dcterms:created>
  <dcterms:modified xsi:type="dcterms:W3CDTF">2024-09-18T08:33:00Z</dcterms:modified>
</cp:coreProperties>
</file>