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6F" w:rsidRPr="00157E6F" w:rsidRDefault="00157E6F" w:rsidP="00157E6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57E6F">
        <w:rPr>
          <w:rFonts w:ascii="Arial" w:eastAsia="Times New Roman" w:hAnsi="Arial" w:cs="Arial"/>
          <w:sz w:val="28"/>
          <w:szCs w:val="28"/>
          <w:lang w:eastAsia="ru-RU"/>
        </w:rPr>
        <w:drawing>
          <wp:inline distT="0" distB="0" distL="0" distR="0">
            <wp:extent cx="445135" cy="549910"/>
            <wp:effectExtent l="19050" t="0" r="0" b="0"/>
            <wp:docPr id="19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6F" w:rsidRPr="00157E6F" w:rsidRDefault="00157E6F" w:rsidP="00157E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57E6F" w:rsidRPr="00157E6F" w:rsidRDefault="00157E6F" w:rsidP="00157E6F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57E6F" w:rsidRPr="00157E6F" w:rsidTr="00D14C45">
        <w:tc>
          <w:tcPr>
            <w:tcW w:w="9853" w:type="dxa"/>
          </w:tcPr>
          <w:p w:rsidR="00157E6F" w:rsidRPr="00157E6F" w:rsidRDefault="00157E6F" w:rsidP="00D14C45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22.05.2025 </w:t>
            </w:r>
            <w:r w:rsidRPr="00157E6F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      </w:t>
            </w:r>
            <w:proofErr w:type="spellStart"/>
            <w:r w:rsidRPr="00157E6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с.Богучаны</w:t>
            </w:r>
            <w:proofErr w:type="spellEnd"/>
            <w:r w:rsidRPr="00157E6F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               </w:t>
            </w:r>
            <w:r w:rsidRPr="00157E6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425-п</w:t>
            </w:r>
          </w:p>
          <w:p w:rsidR="00157E6F" w:rsidRPr="00157E6F" w:rsidRDefault="00157E6F" w:rsidP="00D14C45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10.06.2024 №538-п «Об утверждении Положения о премировании (материальном поощрении) лучших выпускников общеобразовательных организаций, подведомственных управлению образования администрации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157E6F" w:rsidRPr="00157E6F" w:rsidRDefault="00157E6F" w:rsidP="00157E6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7E6F" w:rsidRPr="00157E6F" w:rsidRDefault="00157E6F" w:rsidP="00157E6F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</w:t>
      </w:r>
      <w:proofErr w:type="gram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ч</w:t>
      </w:r>
      <w:proofErr w:type="gram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>. 4 ст.</w:t>
      </w:r>
      <w:hyperlink r:id="rId6" w:history="1">
        <w:r w:rsidRPr="00157E6F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157E6F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 ч.4 ст.77 Федерального закона  от 29.12.2012 № 273-ФЗ «Об образовании в Российской Федерации»,  руководствуясь ст. ст.7, 8, 43, 47 Устава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157E6F" w:rsidRPr="00157E6F" w:rsidRDefault="00157E6F" w:rsidP="00157E6F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57E6F" w:rsidRPr="00157E6F" w:rsidRDefault="00157E6F" w:rsidP="00157E6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            ПОСТАНОВЛЯЮ: </w:t>
      </w:r>
    </w:p>
    <w:p w:rsidR="00157E6F" w:rsidRPr="00157E6F" w:rsidRDefault="00157E6F" w:rsidP="00157E6F">
      <w:pPr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 постановление администрации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10.06.2024 №538-п «Об утверждении Положения о премировании (материальном поощрении) лучших выпускников общеобразовательных организаций, подведомственных управлению образования администрации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 (далее по тексту - Постановление, Положение о премировании) следующие изменения:</w:t>
      </w:r>
    </w:p>
    <w:p w:rsidR="00157E6F" w:rsidRPr="00157E6F" w:rsidRDefault="00157E6F" w:rsidP="00157E6F">
      <w:pPr>
        <w:numPr>
          <w:ilvl w:val="1"/>
          <w:numId w:val="1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right="57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пункт 4 Постановления изложить в новой редакции: «Финансовому управлению администрации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Давыденко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О.Г.) обеспечить своевременное финансирование, предусмотренное на  премирование (материальное  поощрение) лучших выпускников,  согласно муниципальной программе «Развитие образования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утвержденной постановлением администрации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№1390-п»;</w:t>
      </w:r>
    </w:p>
    <w:p w:rsidR="00157E6F" w:rsidRPr="00157E6F" w:rsidRDefault="00157E6F" w:rsidP="00157E6F">
      <w:pPr>
        <w:numPr>
          <w:ilvl w:val="1"/>
          <w:numId w:val="1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right="57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№1 «Положение о премировании (материальном поощрении) лучших  выпускников общеобразовательных организаций, подведомственных управлению образования администрации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район»  к  Постановлению изложить в новой редакции согласно приложению № 1 к настоящему постановлению;</w:t>
      </w:r>
    </w:p>
    <w:p w:rsidR="00157E6F" w:rsidRPr="00157E6F" w:rsidRDefault="00157E6F" w:rsidP="00157E6F">
      <w:pPr>
        <w:numPr>
          <w:ilvl w:val="1"/>
          <w:numId w:val="1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right="57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приложение №2 «Состав Комиссии по отбору кандидатов на  присуждение премии    (материального поощрения) лучшим выпускникам муниципальных образовательных организаций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проявившие себя в интеллектуальной, творческой, спортивной и общественно-полезной деятельности»  к  Постановлению изложить в новой редакции согласно приложению №2 к настоящему постановлению.</w:t>
      </w:r>
    </w:p>
    <w:p w:rsidR="00157E6F" w:rsidRPr="00157E6F" w:rsidRDefault="00157E6F" w:rsidP="00157E6F">
      <w:pPr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157E6F" w:rsidRPr="00157E6F" w:rsidRDefault="00157E6F" w:rsidP="00157E6F">
      <w:pPr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57E6F" w:rsidRPr="00157E6F" w:rsidRDefault="00157E6F" w:rsidP="00157E6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7E6F" w:rsidRPr="00157E6F" w:rsidRDefault="00157E6F" w:rsidP="00157E6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157E6F" w:rsidRPr="00157E6F" w:rsidRDefault="00157E6F" w:rsidP="00157E6F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157E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57E6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57E6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В.М.Любим</w:t>
      </w:r>
    </w:p>
    <w:p w:rsidR="00157E6F" w:rsidRPr="00157E6F" w:rsidRDefault="00157E6F" w:rsidP="00157E6F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7E6F" w:rsidRPr="00157E6F" w:rsidRDefault="00157E6F" w:rsidP="00157E6F">
      <w:pPr>
        <w:tabs>
          <w:tab w:val="left" w:pos="4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Style w:val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7"/>
      </w:tblGrid>
      <w:tr w:rsidR="00157E6F" w:rsidRPr="00157E6F" w:rsidTr="00D14C45">
        <w:tc>
          <w:tcPr>
            <w:tcW w:w="5495" w:type="dxa"/>
          </w:tcPr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077" w:type="dxa"/>
          </w:tcPr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1 к  постановлению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администрации </w:t>
            </w:r>
            <w:proofErr w:type="spellStart"/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</w:t>
            </w:r>
            <w:r w:rsidRPr="00157E6F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 xml:space="preserve"> 22</w:t>
            </w: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.05.2025   № </w:t>
            </w:r>
            <w:r w:rsidRPr="00157E6F"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  <w:t>425</w:t>
            </w: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-</w:t>
            </w:r>
            <w:proofErr w:type="spellStart"/>
            <w:proofErr w:type="gramStart"/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157E6F" w:rsidRPr="00157E6F" w:rsidRDefault="00157E6F" w:rsidP="00157E6F">
      <w:pPr>
        <w:tabs>
          <w:tab w:val="left" w:pos="408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Style w:val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157E6F" w:rsidRPr="00157E6F" w:rsidTr="00D14C45">
        <w:tc>
          <w:tcPr>
            <w:tcW w:w="5494" w:type="dxa"/>
          </w:tcPr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1 к  постановлению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администрации </w:t>
            </w:r>
            <w:proofErr w:type="spellStart"/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10.04.2024   № 538 -</w:t>
            </w:r>
            <w:proofErr w:type="spellStart"/>
            <w:proofErr w:type="gramStart"/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О ПРЕМИРОВАНИИ (МАТЕРИАЛЬНОМ ПООЩРЕНИИ) ЛУЧШИХ  ВЫПУСКНИКОВ  ОБЩЕОБРАЗОВАТЕЛЬНЫХ ОРГАНИЗАЦИЙ, ПОДВЕДОМСТВЕННЫХ УПРАВЛЕНИЮ ОБРАЗОВАНИЯ АДМИНИСТРАЦИИ БОГУЧАНСКОГО РАЙОНА КРАСНОЯРСКОГО КРАЯ, РАСПОЛОЖЕННЫХ </w:t>
      </w:r>
    </w:p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НА ТЕРРИТОРИИ МУНИЦИПАЛЬНОГО ОБРАЗОВАНИЯ</w:t>
      </w:r>
    </w:p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БОГУЧАНСКИЙ РАЙОН</w:t>
      </w:r>
    </w:p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numPr>
          <w:ilvl w:val="0"/>
          <w:numId w:val="3"/>
        </w:numPr>
        <w:spacing w:after="0" w:line="240" w:lineRule="auto"/>
        <w:ind w:left="57" w:right="57" w:hanging="4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Положение разработано с целью поощрения  в виде  премирования (материального поощрения) лучших выпускников общеобразовательных организаций, подведомственных управлению образования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проявивших себя в интеллектуальной, творческой, спортивной и общественно-полезной деятельности.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Положение регламентирует порядок,  условия  и механизм  премирования (материального поощрения) лучших  выпускников района.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Средства на выплату премирования (материального поощрения) выпускников (далее по тексту - Премия) носят целевой характер и не могут быть использованы получателями бюджетных средств на другие цели.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Организацию и координацию работы по присуждению  Премии  лучшим выпускникам общеобразовательных организаций осуществляет управление образования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(далее  по тексту – Управление образования). 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Премия  вручаются в торжественной обстановке Главой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или по его поручению представителем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при проведении торжественного приема Главы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одновременно с выдачей  Свидетельства о присуждении   Премии.</w:t>
      </w:r>
    </w:p>
    <w:p w:rsidR="00157E6F" w:rsidRPr="00157E6F" w:rsidRDefault="00157E6F" w:rsidP="00157E6F">
      <w:pPr>
        <w:tabs>
          <w:tab w:val="left" w:pos="1134"/>
        </w:tabs>
        <w:spacing w:after="0" w:line="240" w:lineRule="auto"/>
        <w:ind w:left="624"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numPr>
          <w:ilvl w:val="0"/>
          <w:numId w:val="3"/>
        </w:numPr>
        <w:tabs>
          <w:tab w:val="left" w:pos="284"/>
          <w:tab w:val="left" w:pos="2268"/>
        </w:tabs>
        <w:spacing w:after="0" w:line="240" w:lineRule="auto"/>
        <w:ind w:left="57" w:right="57" w:hanging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УСЛОВИЯ  И РАЗМЕР  ПРЕМИРОВАНИЯ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Ежегодно устанавливается не более 40 Премий.  Размер  Премии  составляет</w:t>
      </w: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2000  (две тысячи) рублей без учета налога на доходы физических лиц.  </w:t>
      </w: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Выплата  премии производится наличным расчетом по расчетно-платежной </w:t>
      </w:r>
      <w:r w:rsidRPr="00157E6F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 xml:space="preserve">ведомости. 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К материальному поощрению представляются лучшие выпускники 11-х  классов   муниципальных образовательных организаций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проявившие себя в интеллектуальной, творческой, спортивной и общественно-полезной деятельности и имеющие высокие  достижения в следующих номинациях:</w:t>
      </w:r>
    </w:p>
    <w:p w:rsidR="00157E6F" w:rsidRPr="00157E6F" w:rsidRDefault="00157E6F" w:rsidP="00157E6F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за высокие достижения в интеллектуальной деятельности (олимпиады, конкурсы, исследовательские работы, отличники учебы) - в количестве 20  премий;</w:t>
      </w:r>
    </w:p>
    <w:p w:rsidR="00157E6F" w:rsidRPr="00157E6F" w:rsidRDefault="00157E6F" w:rsidP="00157E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7" w:right="57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за высокие достижения в творческой деятельности (выставки, конкурсы художественного, технического творчества, краеведения, экологии) - в количестве 10  премий;</w:t>
      </w:r>
    </w:p>
    <w:p w:rsidR="00157E6F" w:rsidRPr="00157E6F" w:rsidRDefault="00157E6F" w:rsidP="00157E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7" w:right="57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 высокие достижения в спортивной деятельности (соревнования по различным видам детского спорта) - в количестве 5 премий;</w:t>
      </w:r>
    </w:p>
    <w:p w:rsidR="00157E6F" w:rsidRPr="00157E6F" w:rsidRDefault="00157E6F" w:rsidP="00157E6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7" w:right="57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за высокие достижения в общественно-полезной деятельности (социальные акции, проекты) - в количестве 5  премий.</w:t>
      </w:r>
    </w:p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numPr>
          <w:ilvl w:val="0"/>
          <w:numId w:val="3"/>
        </w:numPr>
        <w:spacing w:after="0" w:line="240" w:lineRule="auto"/>
        <w:ind w:left="0" w:right="57" w:firstLine="38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ПОРЯДОК ПРИСУЖДЕНИЯ  ПРЕМИИ   ЛУЧШИМ ВЫПУСКНИКАМ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Премирование лучших  выпускников  осуществляется по итогам подведения результатов высоких личных достижений в соответствующих номинациях на основании  критериев отбора и проводится в  три  этапа:</w:t>
      </w:r>
    </w:p>
    <w:p w:rsidR="00157E6F" w:rsidRPr="00157E6F" w:rsidRDefault="00157E6F" w:rsidP="00157E6F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выдвижение претендентов на Премирование образовательным учреждением;</w:t>
      </w:r>
    </w:p>
    <w:p w:rsidR="00157E6F" w:rsidRPr="00157E6F" w:rsidRDefault="00157E6F" w:rsidP="00157E6F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отбор Комиссией кандидатов на получение премии лучшим выпускникам;</w:t>
      </w:r>
    </w:p>
    <w:p w:rsidR="00157E6F" w:rsidRPr="00157E6F" w:rsidRDefault="00157E6F" w:rsidP="00157E6F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присуждение Премии лучшим выпускникам  распорядительным актом Главы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края. 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Первый  этап – выдвижение  претендентов на премирование (Проводит образовательное учреждение).</w:t>
      </w:r>
    </w:p>
    <w:p w:rsidR="00157E6F" w:rsidRPr="00157E6F" w:rsidRDefault="00157E6F" w:rsidP="00157E6F">
      <w:pPr>
        <w:tabs>
          <w:tab w:val="left" w:pos="1276"/>
        </w:tabs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Выдвижение  кандидата проводится  по установленным критериям согласно приложению 1 в отдельности для каждой  номинации.</w:t>
      </w:r>
    </w:p>
    <w:p w:rsidR="00157E6F" w:rsidRPr="00157E6F" w:rsidRDefault="00157E6F" w:rsidP="00157E6F">
      <w:pPr>
        <w:tabs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Выдвижение претендентов осуществляется образовательными учреждениями самостоятельно.  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Педагогический совет образовательной организации, действующий  на основании Устава образовательной организации (дале</w:t>
      </w:r>
      <w:proofErr w:type="gram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е-</w:t>
      </w:r>
      <w:proofErr w:type="gram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Педагогический совет) на заседании  рассматривает 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портфолио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кандидата на присуждение  Премии  и осуществляет выдвижение.</w:t>
      </w:r>
    </w:p>
    <w:p w:rsidR="00157E6F" w:rsidRPr="00157E6F" w:rsidRDefault="00157E6F" w:rsidP="00157E6F">
      <w:pPr>
        <w:tabs>
          <w:tab w:val="left" w:pos="1134"/>
        </w:tabs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В состав 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Портфолио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входит:</w:t>
      </w:r>
    </w:p>
    <w:p w:rsidR="00157E6F" w:rsidRPr="00157E6F" w:rsidRDefault="00157E6F" w:rsidP="00157E6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57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 номинации «За высокие достижения в интеллектуальной деятельности»:</w:t>
      </w:r>
    </w:p>
    <w:p w:rsidR="00157E6F" w:rsidRPr="00157E6F" w:rsidRDefault="00157E6F" w:rsidP="00157E6F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выписка об успеваемости за последние 2 года обучения, наличие среднего балла успеваемости - 5;</w:t>
      </w:r>
    </w:p>
    <w:p w:rsidR="00157E6F" w:rsidRPr="00157E6F" w:rsidRDefault="00157E6F" w:rsidP="00157E6F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документы  (сертификат, диплом, свидетельство, грамота  и т.д.) подтверждающие результативное участие в мероприятиях соответствующего уровня за последние два года;</w:t>
      </w:r>
    </w:p>
    <w:p w:rsidR="00157E6F" w:rsidRPr="00157E6F" w:rsidRDefault="00157E6F" w:rsidP="00157E6F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right="57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 номинации «За высокие достижения в творческой деятельности»:</w:t>
      </w:r>
    </w:p>
    <w:p w:rsidR="00157E6F" w:rsidRPr="00157E6F" w:rsidRDefault="00157E6F" w:rsidP="00157E6F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выписка об успеваемости за последние 2 года обучения, наличие среднего балла успеваемости не менее 4;</w:t>
      </w:r>
    </w:p>
    <w:p w:rsidR="00157E6F" w:rsidRPr="00157E6F" w:rsidRDefault="00157E6F" w:rsidP="00157E6F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right="5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документы  (сертификат, диплом, свидетельство, грамота  и т.д.) подтверждающие индивидуальное результативное участие в мероприятиях соответствующего уровня  за последние два года;</w:t>
      </w:r>
    </w:p>
    <w:p w:rsidR="00157E6F" w:rsidRPr="00157E6F" w:rsidRDefault="00157E6F" w:rsidP="00157E6F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right="57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В номинации «За высокие достижения в общественно-полезной деятельности»: </w:t>
      </w:r>
    </w:p>
    <w:p w:rsidR="00157E6F" w:rsidRPr="00157E6F" w:rsidRDefault="00157E6F" w:rsidP="00157E6F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5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выписка об успеваемости за последние 2 года обучения, наличие среднего балла успеваемости – не ниже 3,5;</w:t>
      </w:r>
    </w:p>
    <w:p w:rsidR="00157E6F" w:rsidRPr="00157E6F" w:rsidRDefault="00157E6F" w:rsidP="00157E6F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5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документы  (диплом, грамота, в качестве волонтёра (копия волонтёрской книжки или копии благодарственных писем) и т.д.) подтверждающие результативное участие в мероприятиях соответствующего уровня за последние два года;</w:t>
      </w:r>
    </w:p>
    <w:p w:rsidR="00157E6F" w:rsidRPr="00157E6F" w:rsidRDefault="00157E6F" w:rsidP="00157E6F">
      <w:pPr>
        <w:numPr>
          <w:ilvl w:val="0"/>
          <w:numId w:val="17"/>
        </w:num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left="0" w:right="57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В номинации «За высокие достижения в спортивной деятельности»: </w:t>
      </w:r>
    </w:p>
    <w:p w:rsidR="00157E6F" w:rsidRPr="00157E6F" w:rsidRDefault="00157E6F" w:rsidP="00157E6F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right="5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выписка об успеваемости за последние 2 года обучения, наличие среднего балла успеваемости – не ниже 3,5;</w:t>
      </w:r>
    </w:p>
    <w:p w:rsidR="00157E6F" w:rsidRPr="00157E6F" w:rsidRDefault="00157E6F" w:rsidP="00157E6F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right="5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документы  (сертификат, диплот, свидетельство, грамота  и т.д.) подтверждающие индивидуальное результативное участие в мероприятиях соответствующего уровня за последние два года.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Выбор кандидата осуществляется открытым голосованием большинством голосов его членов, присутствующих на заседании.</w:t>
      </w:r>
    </w:p>
    <w:p w:rsidR="00157E6F" w:rsidRPr="00157E6F" w:rsidRDefault="00157E6F" w:rsidP="00157E6F">
      <w:pPr>
        <w:shd w:val="clear" w:color="auto" w:fill="FFFFFF"/>
        <w:tabs>
          <w:tab w:val="left" w:pos="142"/>
        </w:tabs>
        <w:spacing w:after="0" w:line="240" w:lineRule="auto"/>
        <w:ind w:right="57" w:firstLine="709"/>
        <w:jc w:val="both"/>
        <w:textAlignment w:val="baseline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pacing w:val="1"/>
          <w:sz w:val="20"/>
          <w:szCs w:val="20"/>
          <w:lang w:eastAsia="ru-RU"/>
        </w:rPr>
        <w:t xml:space="preserve">Оценивание осуществляется по принципу «суммирования баллов»: каждый последующий показатель «суммируется»  с предыдущим. </w:t>
      </w: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Итоговый </w:t>
      </w:r>
      <w:r w:rsidRPr="00157E6F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балл</w:t>
      </w: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  <w:r w:rsidRPr="00157E6F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кандидата</w:t>
      </w: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  <w:r w:rsidRPr="00157E6F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определяется</w:t>
      </w: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как сумма  </w:t>
      </w:r>
      <w:r w:rsidRPr="00157E6F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баллов</w:t>
      </w: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, полученных</w:t>
      </w:r>
      <w:r w:rsidRPr="00157E6F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 xml:space="preserve"> кандидатом</w:t>
      </w:r>
      <w:r w:rsidRPr="00157E6F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 по критериям  определенной номинации.</w:t>
      </w:r>
    </w:p>
    <w:p w:rsidR="00157E6F" w:rsidRPr="00157E6F" w:rsidRDefault="00157E6F" w:rsidP="00157E6F">
      <w:pPr>
        <w:shd w:val="clear" w:color="auto" w:fill="FFFFFF"/>
        <w:tabs>
          <w:tab w:val="left" w:pos="993"/>
        </w:tabs>
        <w:spacing w:after="0" w:line="240" w:lineRule="auto"/>
        <w:ind w:right="57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равенства итоговых баллов кандидатов,  решающим является характеристика  кандидата. </w:t>
      </w:r>
    </w:p>
    <w:p w:rsidR="00157E6F" w:rsidRPr="00157E6F" w:rsidRDefault="00157E6F" w:rsidP="00157E6F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Педагогического совета является правомочным, если на его заседании присутствовало не менее 2/3 состава. </w:t>
      </w:r>
    </w:p>
    <w:p w:rsidR="00157E6F" w:rsidRPr="00157E6F" w:rsidRDefault="00157E6F" w:rsidP="00157E6F">
      <w:pPr>
        <w:shd w:val="clear" w:color="auto" w:fill="FFFFFF"/>
        <w:tabs>
          <w:tab w:val="left" w:pos="993"/>
        </w:tabs>
        <w:spacing w:after="0" w:line="240" w:lineRule="auto"/>
        <w:ind w:right="57"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Ход Педагогического совета и решение оформляются протоколом, который </w:t>
      </w:r>
      <w:r w:rsidRPr="00157E6F">
        <w:rPr>
          <w:rFonts w:ascii="Arial" w:eastAsia="Times New Roman" w:hAnsi="Arial" w:cs="Arial"/>
          <w:spacing w:val="2"/>
          <w:sz w:val="20"/>
          <w:szCs w:val="20"/>
          <w:lang w:eastAsia="ru-RU"/>
        </w:rPr>
        <w:t>подписывает Председатель и  все члены Педагогического совета, принявшие участие в заседании.</w:t>
      </w:r>
    </w:p>
    <w:p w:rsidR="00157E6F" w:rsidRPr="00157E6F" w:rsidRDefault="00157E6F" w:rsidP="00157E6F">
      <w:pPr>
        <w:widowControl w:val="0"/>
        <w:numPr>
          <w:ilvl w:val="2"/>
          <w:numId w:val="3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hAnsi="Arial" w:cs="Arial"/>
          <w:iCs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 xml:space="preserve">По окончанию заседания Педагогического совета, на каждого кандидата индивидуально оформляются материалы в печатном виде, которые  формируются в файловую папку (далее по тексту </w:t>
      </w:r>
      <w:proofErr w:type="gramStart"/>
      <w:r w:rsidRPr="00157E6F">
        <w:rPr>
          <w:rFonts w:ascii="Arial" w:eastAsia="Times New Roman" w:hAnsi="Arial" w:cs="Arial"/>
          <w:sz w:val="20"/>
          <w:szCs w:val="20"/>
        </w:rPr>
        <w:t>–П</w:t>
      </w:r>
      <w:proofErr w:type="gramEnd"/>
      <w:r w:rsidRPr="00157E6F">
        <w:rPr>
          <w:rFonts w:ascii="Arial" w:eastAsia="Times New Roman" w:hAnsi="Arial" w:cs="Arial"/>
          <w:sz w:val="20"/>
          <w:szCs w:val="20"/>
        </w:rPr>
        <w:t xml:space="preserve">акет документов) и предоставляются нарочно в Управление образования  </w:t>
      </w:r>
      <w:r w:rsidRPr="00157E6F">
        <w:rPr>
          <w:rFonts w:ascii="Arial" w:eastAsia="Times New Roman" w:hAnsi="Arial" w:cs="Arial"/>
          <w:sz w:val="20"/>
          <w:szCs w:val="20"/>
          <w:lang w:eastAsia="ru-RU"/>
        </w:rPr>
        <w:t>в  срок  не позднее 25 мая.</w:t>
      </w:r>
    </w:p>
    <w:p w:rsidR="00157E6F" w:rsidRPr="00157E6F" w:rsidRDefault="00157E6F" w:rsidP="00157E6F">
      <w:pPr>
        <w:widowControl w:val="0"/>
        <w:tabs>
          <w:tab w:val="left" w:pos="1134"/>
        </w:tabs>
        <w:spacing w:after="0" w:line="240" w:lineRule="auto"/>
        <w:ind w:left="57" w:right="57" w:firstLine="652"/>
        <w:jc w:val="both"/>
        <w:rPr>
          <w:rFonts w:ascii="Arial" w:hAnsi="Arial" w:cs="Arial"/>
          <w:iCs/>
          <w:sz w:val="20"/>
          <w:szCs w:val="20"/>
        </w:rPr>
      </w:pPr>
      <w:r w:rsidRPr="00157E6F">
        <w:rPr>
          <w:rFonts w:ascii="Arial" w:hAnsi="Arial" w:cs="Arial"/>
          <w:iCs/>
          <w:sz w:val="20"/>
          <w:szCs w:val="20"/>
        </w:rPr>
        <w:t>Пакет документов включает следующие документы:</w:t>
      </w:r>
    </w:p>
    <w:p w:rsidR="00157E6F" w:rsidRPr="00157E6F" w:rsidRDefault="00157E6F" w:rsidP="00157E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ходатайство о присуждении  Премии  кандидату в произвольной форме, подписанное руководителем образовательной организации;</w:t>
      </w:r>
    </w:p>
    <w:p w:rsidR="00157E6F" w:rsidRPr="00157E6F" w:rsidRDefault="00157E6F" w:rsidP="00157E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решение (протокол)  Педагогического совета о выдвижении кандидата на присуждение  Премии;</w:t>
      </w:r>
    </w:p>
    <w:p w:rsidR="00157E6F" w:rsidRPr="00157E6F" w:rsidRDefault="00157E6F" w:rsidP="00157E6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копии документов, входящих в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портфолио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кандидата, заверенные руководителем образовательной организации;</w:t>
      </w:r>
    </w:p>
    <w:p w:rsidR="00157E6F" w:rsidRPr="00157E6F" w:rsidRDefault="00157E6F" w:rsidP="00157E6F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на кандидата, подписанная руководителем образовательной организации и содержащая отзыв о результативности обучения выпускника, его личных качествах, сведения о периоде обучения; </w:t>
      </w:r>
    </w:p>
    <w:p w:rsidR="00157E6F" w:rsidRPr="00157E6F" w:rsidRDefault="00157E6F" w:rsidP="00157E6F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копия свидетельства о рождении или паспорта кандидата;</w:t>
      </w:r>
    </w:p>
    <w:p w:rsidR="00157E6F" w:rsidRPr="00157E6F" w:rsidRDefault="00157E6F" w:rsidP="00157E6F">
      <w:pPr>
        <w:numPr>
          <w:ilvl w:val="0"/>
          <w:numId w:val="5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письменное согласие кандидата или его родителей (законных представителей) на обработку персональных данных кандидата. 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Каждый  Пакет документов обеспечивается титульным листом с текстом «</w:t>
      </w:r>
      <w:r w:rsidRPr="00157E6F">
        <w:rPr>
          <w:rFonts w:ascii="Arial" w:hAnsi="Arial" w:cs="Arial"/>
          <w:iCs/>
          <w:sz w:val="20"/>
          <w:szCs w:val="20"/>
          <w:shd w:val="clear" w:color="auto" w:fill="FFFFFF"/>
          <w:lang w:eastAsia="ru-RU"/>
        </w:rPr>
        <w:t>Наименования  номинации»</w:t>
      </w: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на присуждение  Премии лучших выпускников общеобразовательных организаций; Ф.И.О. выпускника </w:t>
      </w:r>
      <w:proofErr w:type="gram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-п</w:t>
      </w:r>
      <w:proofErr w:type="gram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>ретендента;  образовательное учреждение.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В документах не допускается  подчистка, приписка, зачёркивание слов и иных не оговоренных в них исправлений, а также серьёзных повреждений, не позволяющих однозначно истолковать их содержание.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0"/>
          <w:tab w:val="left" w:pos="142"/>
          <w:tab w:val="left" w:pos="851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 Руководитель или иной уполномоченный представитель образовательной организации несет ответственность за полноту представляемого Пакета документов. </w:t>
      </w:r>
    </w:p>
    <w:p w:rsidR="00157E6F" w:rsidRPr="00157E6F" w:rsidRDefault="00157E6F" w:rsidP="00157E6F">
      <w:pPr>
        <w:numPr>
          <w:ilvl w:val="1"/>
          <w:numId w:val="3"/>
        </w:numPr>
        <w:shd w:val="clear" w:color="auto" w:fill="FFFFFF"/>
        <w:tabs>
          <w:tab w:val="left" w:pos="142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right="57"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57E6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Второй этап –  </w:t>
      </w: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отбор кандидатов на присуждение  Премии лучшим выпускникам по количеству Премий (Проводит Комиссия по отбору кандидатов на присуждение  премии  (материального поощрения) лучшим выпускникам муниципальных образовательных организаций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проявившие себя в интеллектуальной, творческой, спортивной и общественно-полезной деятельности (далее по тексту -  Комиссия по отбору кандидатов).</w:t>
      </w:r>
      <w:proofErr w:type="gramEnd"/>
    </w:p>
    <w:p w:rsidR="00157E6F" w:rsidRPr="00157E6F" w:rsidRDefault="00157E6F" w:rsidP="00157E6F">
      <w:pPr>
        <w:numPr>
          <w:ilvl w:val="2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Документы, поступившие  в Управление образования,  регистрируются  в журнале регистрации в день их поступления секретарем  Комиссии по отбору  кандидатов.</w:t>
      </w:r>
    </w:p>
    <w:p w:rsidR="00157E6F" w:rsidRPr="00157E6F" w:rsidRDefault="00157E6F" w:rsidP="00157E6F">
      <w:pPr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Документы, поступившие после истечения установленного срока  п. 3.2.3. настоящего Положения, Комиссией по отбору  кандидатов не рассматриваются.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С целью отбора  кандидатов по количеству Премий, предусмотренных пунктом 2.2. настоящего Положения, Комиссия  по отбору  кандидатов  проводит заседание не позднее 31 мая.</w:t>
      </w:r>
    </w:p>
    <w:p w:rsidR="00157E6F" w:rsidRPr="00157E6F" w:rsidRDefault="00157E6F" w:rsidP="00157E6F">
      <w:pPr>
        <w:tabs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В ходе заседания Комиссия по отбору кандидатов рассматривает поступившие документы на соответствие техническому оформлению и правомерности выдвижения кандидата  на присуждение  Премии. 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выставленных баллов Комиссия по отбору  кандидатов составляет рейтинговый список кандидатов от «большего </w:t>
      </w:r>
      <w:proofErr w:type="gram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меньшему». </w:t>
      </w:r>
    </w:p>
    <w:p w:rsidR="00157E6F" w:rsidRPr="00157E6F" w:rsidRDefault="00157E6F" w:rsidP="00157E6F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567"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 зависимости от номинации:</w:t>
      </w:r>
    </w:p>
    <w:p w:rsidR="00157E6F" w:rsidRPr="00157E6F" w:rsidRDefault="00157E6F" w:rsidP="00157E6F">
      <w:pPr>
        <w:numPr>
          <w:ilvl w:val="0"/>
          <w:numId w:val="21"/>
        </w:numPr>
        <w:tabs>
          <w:tab w:val="left" w:pos="1134"/>
        </w:tabs>
        <w:spacing w:after="0" w:line="240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«За высокие достижения в интеллектуальной деятельности» первые 20 кандидатов рейтинга, набравшие большее количество баллов, включаются в список на присуждение Премии;</w:t>
      </w:r>
    </w:p>
    <w:p w:rsidR="00157E6F" w:rsidRPr="00157E6F" w:rsidRDefault="00157E6F" w:rsidP="00157E6F">
      <w:pPr>
        <w:numPr>
          <w:ilvl w:val="0"/>
          <w:numId w:val="21"/>
        </w:numPr>
        <w:tabs>
          <w:tab w:val="left" w:pos="1134"/>
        </w:tabs>
        <w:spacing w:after="0" w:line="240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«За высокие достижения в творческой деятельности» первые 10 кандидатов рейтинга, набравшие большее количество баллов, включаются в список на присуждение Премии;</w:t>
      </w:r>
    </w:p>
    <w:p w:rsidR="00157E6F" w:rsidRPr="00157E6F" w:rsidRDefault="00157E6F" w:rsidP="00157E6F">
      <w:pPr>
        <w:numPr>
          <w:ilvl w:val="0"/>
          <w:numId w:val="21"/>
        </w:numPr>
        <w:tabs>
          <w:tab w:val="left" w:pos="1134"/>
        </w:tabs>
        <w:spacing w:after="0" w:line="240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«За высокие достижения в спортивной деятельности» первые 5 кандидатов рейтинга, набравшие большее количество баллов, включаются в список на присуждение Премии;</w:t>
      </w:r>
    </w:p>
    <w:p w:rsidR="00157E6F" w:rsidRPr="00157E6F" w:rsidRDefault="00157E6F" w:rsidP="00157E6F">
      <w:pPr>
        <w:numPr>
          <w:ilvl w:val="0"/>
          <w:numId w:val="21"/>
        </w:numPr>
        <w:tabs>
          <w:tab w:val="left" w:pos="1134"/>
        </w:tabs>
        <w:spacing w:after="0" w:line="240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«За высокие достижения в общественно-полезной деятельности» первые 5 кандидатов рейтинга, набравшие большее количество баллов, включаются в список на присуждение Премии.</w:t>
      </w:r>
    </w:p>
    <w:p w:rsidR="00157E6F" w:rsidRPr="00157E6F" w:rsidRDefault="00157E6F" w:rsidP="00157E6F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Утвержденный список  выпускников  не должен превышать количество Премий в определенной номинации.</w:t>
      </w:r>
    </w:p>
    <w:p w:rsidR="00157E6F" w:rsidRPr="00157E6F" w:rsidRDefault="00157E6F" w:rsidP="00157E6F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 случае равенства баллов кандидатов,  решающим является голос Председателя Комиссии.</w:t>
      </w:r>
      <w:r w:rsidRPr="00157E6F">
        <w:rPr>
          <w:rFonts w:ascii="Arial" w:eastAsia="Times New Roman" w:hAnsi="Arial" w:cs="Arial"/>
          <w:spacing w:val="-7"/>
          <w:sz w:val="20"/>
          <w:szCs w:val="20"/>
          <w:lang w:eastAsia="ru-RU"/>
        </w:rPr>
        <w:t xml:space="preserve"> 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По результатам заседания Комиссия по отбору  кандидатов принимает одно из следующих решений:</w:t>
      </w:r>
    </w:p>
    <w:p w:rsidR="00157E6F" w:rsidRPr="00157E6F" w:rsidRDefault="00157E6F" w:rsidP="00157E6F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 включении  в список  кандидата на присуждение Премии;</w:t>
      </w:r>
    </w:p>
    <w:p w:rsidR="00157E6F" w:rsidRPr="00157E6F" w:rsidRDefault="00157E6F" w:rsidP="00157E6F">
      <w:pPr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об исключении  из списка кандидата на присуждение Премии.</w:t>
      </w:r>
    </w:p>
    <w:p w:rsidR="00157E6F" w:rsidRPr="00157E6F" w:rsidRDefault="00157E6F" w:rsidP="00157E6F">
      <w:pPr>
        <w:numPr>
          <w:ilvl w:val="2"/>
          <w:numId w:val="3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Основаниями для исключения из списка кандидата в присуждении  Премии  являются:</w:t>
      </w:r>
    </w:p>
    <w:p w:rsidR="00157E6F" w:rsidRPr="00157E6F" w:rsidRDefault="00157E6F" w:rsidP="00157E6F">
      <w:pPr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превышение количества кандидатов количеству Премий для определенной номинации в соответствии с п. 2.2. настоящего Положения.</w:t>
      </w:r>
    </w:p>
    <w:p w:rsidR="00157E6F" w:rsidRPr="00157E6F" w:rsidRDefault="00157E6F" w:rsidP="00157E6F">
      <w:pPr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непредставление документов, предусмотренных п. 3.2.3. настоящего Положения;</w:t>
      </w:r>
    </w:p>
    <w:p w:rsidR="00157E6F" w:rsidRPr="00157E6F" w:rsidRDefault="00157E6F" w:rsidP="00157E6F">
      <w:pPr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оформление документов с нарушением установленных настоящим Положением требований в соответствии с п. 3.2.5.</w:t>
      </w:r>
    </w:p>
    <w:p w:rsidR="00157E6F" w:rsidRPr="00157E6F" w:rsidRDefault="00157E6F" w:rsidP="00157E6F">
      <w:pPr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предоставление общеобразовательной организацией недостоверных сведений на кандидата.</w:t>
      </w:r>
    </w:p>
    <w:p w:rsidR="00157E6F" w:rsidRPr="00157E6F" w:rsidRDefault="00157E6F" w:rsidP="00157E6F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Комиссии по отбору  кандидатов оформляется протоколом в день проведения заседания. Протокол заседания подписывается всеми членами Комиссии по отбору кандидатов, присутствовавшими на её заседании и направляется Главе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рассмотрения и принятия решения.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Третий этап – присуждение Премии (Глава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района).</w:t>
      </w:r>
    </w:p>
    <w:p w:rsidR="00157E6F" w:rsidRPr="00157E6F" w:rsidRDefault="00157E6F" w:rsidP="00157E6F">
      <w:pPr>
        <w:tabs>
          <w:tab w:val="left" w:pos="0"/>
        </w:tabs>
        <w:spacing w:after="0" w:line="240" w:lineRule="auto"/>
        <w:ind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о награждении Премией  (материальном поощрении) лучших выпускников общеобразовательных организаций, подведомственных управлению образования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принимается Главой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оформляется  муниципальным правовым актом на основании протокола заседания Комиссии по отбору  кандидатов для  присуждения Премии по номинациям.</w:t>
      </w:r>
    </w:p>
    <w:p w:rsidR="00157E6F" w:rsidRPr="00157E6F" w:rsidRDefault="00157E6F" w:rsidP="00157E6F">
      <w:pPr>
        <w:numPr>
          <w:ilvl w:val="1"/>
          <w:numId w:val="3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Споры по вопросам присуждения  Премии  разрешаются в порядке, установленном законодательством Российской Федерации.</w:t>
      </w:r>
    </w:p>
    <w:p w:rsidR="00157E6F" w:rsidRPr="00157E6F" w:rsidRDefault="00157E6F" w:rsidP="00157E6F">
      <w:pPr>
        <w:tabs>
          <w:tab w:val="left" w:pos="0"/>
        </w:tabs>
        <w:spacing w:after="0" w:line="240" w:lineRule="auto"/>
        <w:ind w:right="57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</w:rPr>
      </w:pPr>
      <w:r w:rsidRPr="00157E6F">
        <w:rPr>
          <w:rFonts w:ascii="Arial" w:eastAsia="Times New Roman" w:hAnsi="Arial" w:cs="Arial"/>
          <w:sz w:val="20"/>
          <w:szCs w:val="20"/>
        </w:rPr>
        <w:t>СОСТАВ, ФУНКЦИИ И ПОЛНОМОЧИЯ  КОМИССИИ ПО ОТБОРУ КАНДИДАТОВ НА ПРИСУЖДЕНИЕ ПРЕМИИ  ЛУЧШИМ ВЫПУСКНИКАМ</w:t>
      </w:r>
    </w:p>
    <w:p w:rsidR="00157E6F" w:rsidRPr="00157E6F" w:rsidRDefault="00157E6F" w:rsidP="00157E6F">
      <w:pPr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Для присуждения   Премии  лучшим  выпускникам, постановлением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создаётся постоянно действующая Комиссия по отбору  кандидатов на  присуждение премии    (материального поощрения) лучшим выпускникам муниципальных образовательных организаций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проявившие себя в интеллектуальной, творческой, спортивной и общественно-полезной деятельности из числа работников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района; управления образования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</w:t>
      </w:r>
      <w:r w:rsidRPr="00157E6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МКУ «Управление культуры, физической культуры, спорта и молодежной политики </w:t>
      </w:r>
      <w:proofErr w:type="spellStart"/>
      <w:r w:rsidRPr="00157E6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района» </w:t>
      </w: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 в количестве не менее пяти человек. </w:t>
      </w:r>
    </w:p>
    <w:p w:rsidR="00157E6F" w:rsidRPr="00157E6F" w:rsidRDefault="00157E6F" w:rsidP="00157E6F">
      <w:pPr>
        <w:widowControl w:val="0"/>
        <w:numPr>
          <w:ilvl w:val="1"/>
          <w:numId w:val="14"/>
        </w:numPr>
        <w:tabs>
          <w:tab w:val="left" w:pos="0"/>
          <w:tab w:val="left" w:pos="873"/>
          <w:tab w:val="left" w:pos="1134"/>
        </w:tabs>
        <w:spacing w:after="0" w:line="240" w:lineRule="auto"/>
        <w:ind w:left="0" w:right="57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 состав  Комиссии  по отбору кандидатов входит: председатель, заместитель председателя, секретарь, члены комиссии.</w:t>
      </w:r>
    </w:p>
    <w:p w:rsidR="00157E6F" w:rsidRPr="00157E6F" w:rsidRDefault="00157E6F" w:rsidP="00157E6F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 по отбору кандидатов:</w:t>
      </w:r>
    </w:p>
    <w:p w:rsidR="00157E6F" w:rsidRPr="00157E6F" w:rsidRDefault="00157E6F" w:rsidP="00157E6F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 общее руководство деятельностью Комиссии;</w:t>
      </w:r>
    </w:p>
    <w:p w:rsidR="00157E6F" w:rsidRPr="00157E6F" w:rsidRDefault="00157E6F" w:rsidP="00157E6F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проводит заседания Комиссии по отбору кандидатов и организует обработку итоговых результатов;</w:t>
      </w:r>
    </w:p>
    <w:p w:rsidR="00157E6F" w:rsidRPr="00157E6F" w:rsidRDefault="00157E6F" w:rsidP="00157E6F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подписывает  протоколы заседаний Комиссии по отбору кандидатов;</w:t>
      </w:r>
    </w:p>
    <w:p w:rsidR="00157E6F" w:rsidRPr="00157E6F" w:rsidRDefault="00157E6F" w:rsidP="00157E6F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организует формирование перечня лучших выпускников для присуждения  Премии  согласно установленной квоте по определенной номинации.</w:t>
      </w:r>
    </w:p>
    <w:p w:rsidR="00157E6F" w:rsidRPr="00157E6F" w:rsidRDefault="00157E6F" w:rsidP="00157E6F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Заместитель председателя Комиссии по отбору кандидатов:</w:t>
      </w:r>
    </w:p>
    <w:p w:rsidR="00157E6F" w:rsidRPr="00157E6F" w:rsidRDefault="00157E6F" w:rsidP="00157E6F">
      <w:pPr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выполняет функции председателя Комиссии по отбору кандидатов в его отсутствие;</w:t>
      </w:r>
    </w:p>
    <w:p w:rsidR="00157E6F" w:rsidRPr="00157E6F" w:rsidRDefault="00157E6F" w:rsidP="00157E6F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Секретарь Комиссии по отбору кандидатов:</w:t>
      </w:r>
    </w:p>
    <w:p w:rsidR="00157E6F" w:rsidRPr="00157E6F" w:rsidRDefault="00157E6F" w:rsidP="00157E6F">
      <w:pPr>
        <w:widowControl w:val="0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обеспечивает организационно-техническую деятельность Конкурсной комиссии;</w:t>
      </w:r>
    </w:p>
    <w:p w:rsidR="00157E6F" w:rsidRPr="00157E6F" w:rsidRDefault="00157E6F" w:rsidP="00157E6F">
      <w:pPr>
        <w:widowControl w:val="0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проводит регистрацию документации (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портфолио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>) в журнале регистрации документов;</w:t>
      </w:r>
    </w:p>
    <w:p w:rsidR="00157E6F" w:rsidRPr="00157E6F" w:rsidRDefault="00157E6F" w:rsidP="00157E6F">
      <w:pPr>
        <w:widowControl w:val="0"/>
        <w:numPr>
          <w:ilvl w:val="0"/>
          <w:numId w:val="9"/>
        </w:numPr>
        <w:tabs>
          <w:tab w:val="left" w:pos="0"/>
          <w:tab w:val="left" w:pos="847"/>
          <w:tab w:val="left" w:pos="993"/>
          <w:tab w:val="left" w:pos="1134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ведет протоколы, осуществляет оформление выписок из протоколов заседаний Комиссии по отбору кандидатов.</w:t>
      </w:r>
    </w:p>
    <w:p w:rsidR="00157E6F" w:rsidRPr="00157E6F" w:rsidRDefault="00157E6F" w:rsidP="00157E6F">
      <w:pPr>
        <w:widowControl w:val="0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Члены Комиссии по отбору кандидатов:</w:t>
      </w:r>
    </w:p>
    <w:p w:rsidR="00157E6F" w:rsidRPr="00157E6F" w:rsidRDefault="00157E6F" w:rsidP="00157E6F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принимают личное участие в заседаниях Комиссии по отбору кандидатов;</w:t>
      </w:r>
    </w:p>
    <w:p w:rsidR="00157E6F" w:rsidRPr="00157E6F" w:rsidRDefault="00157E6F" w:rsidP="00157E6F">
      <w:pPr>
        <w:widowControl w:val="0"/>
        <w:numPr>
          <w:ilvl w:val="0"/>
          <w:numId w:val="10"/>
        </w:numPr>
        <w:tabs>
          <w:tab w:val="left" w:pos="0"/>
          <w:tab w:val="left" w:pos="847"/>
          <w:tab w:val="left" w:pos="993"/>
          <w:tab w:val="left" w:pos="1134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рассматривают представляемые на заседания документы;</w:t>
      </w:r>
    </w:p>
    <w:p w:rsidR="00157E6F" w:rsidRPr="00157E6F" w:rsidRDefault="00157E6F" w:rsidP="00157E6F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принимают участие в голосовании при принятии решения;</w:t>
      </w:r>
    </w:p>
    <w:p w:rsidR="00157E6F" w:rsidRPr="00157E6F" w:rsidRDefault="00157E6F" w:rsidP="00157E6F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2" w:firstLine="6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соблюдают конфиденциальность в отношении информации, рассматриваемой на заседаниях.</w:t>
      </w:r>
    </w:p>
    <w:p w:rsidR="00157E6F" w:rsidRPr="00157E6F" w:rsidRDefault="00157E6F" w:rsidP="00157E6F">
      <w:pPr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right="-2" w:firstLine="60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На Комиссию по отбору кандидатов возлагаются следующие функции:</w:t>
      </w:r>
    </w:p>
    <w:p w:rsidR="00157E6F" w:rsidRPr="00157E6F" w:rsidRDefault="00157E6F" w:rsidP="00157E6F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right="-2" w:firstLine="60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рассмотрение поступивших материалов;</w:t>
      </w:r>
    </w:p>
    <w:p w:rsidR="00157E6F" w:rsidRPr="00157E6F" w:rsidRDefault="00157E6F" w:rsidP="00157E6F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right="-2" w:firstLine="60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оценка поступивших документов;</w:t>
      </w:r>
    </w:p>
    <w:p w:rsidR="00157E6F" w:rsidRPr="00157E6F" w:rsidRDefault="00157E6F" w:rsidP="00157E6F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right="-2" w:firstLine="60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отбор кандидатов на присуждение  Премии   на основании поступивших документов.</w:t>
      </w:r>
    </w:p>
    <w:p w:rsidR="00157E6F" w:rsidRPr="00157E6F" w:rsidRDefault="00157E6F" w:rsidP="00157E6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57" w:firstLine="55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Заседания комиссии проводится один раз в год, не позднее 31 мая. </w:t>
      </w:r>
    </w:p>
    <w:p w:rsidR="00157E6F" w:rsidRPr="00157E6F" w:rsidRDefault="00157E6F" w:rsidP="00157E6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57" w:firstLine="55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по присуждению Премии: Протоколы, Постановление  администрации </w:t>
      </w:r>
      <w:proofErr w:type="spell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присуждении Премии  хранятся  у секретаря  Комиссии по отбору кандидатов в течени</w:t>
      </w:r>
      <w:proofErr w:type="gramStart"/>
      <w:r w:rsidRPr="00157E6F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5 лет. </w:t>
      </w:r>
      <w:r w:rsidRPr="00157E6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(в соответствии с Приказом  </w:t>
      </w:r>
      <w:proofErr w:type="spellStart"/>
      <w:r w:rsidRPr="00157E6F">
        <w:rPr>
          <w:rFonts w:ascii="Arial" w:eastAsia="Times New Roman" w:hAnsi="Arial" w:cs="Arial"/>
          <w:bCs/>
          <w:sz w:val="20"/>
          <w:szCs w:val="20"/>
          <w:lang w:eastAsia="ru-RU"/>
        </w:rPr>
        <w:t>Росархив</w:t>
      </w:r>
      <w:proofErr w:type="spellEnd"/>
      <w:r w:rsidRPr="00157E6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от 20.12.2019 №236 </w:t>
      </w:r>
      <w:r w:rsidRPr="00157E6F">
        <w:rPr>
          <w:rFonts w:ascii="Arial" w:eastAsia="Times New Roman" w:hAnsi="Arial" w:cs="Arial"/>
          <w:sz w:val="20"/>
          <w:szCs w:val="20"/>
          <w:lang w:eastAsia="ru-RU"/>
        </w:rPr>
        <w:t>строка 18</w:t>
      </w:r>
      <w:r w:rsidRPr="00157E6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Перечня типовых управленческих архивных документов, образующихся в процессе  деятельности организации  )</w:t>
      </w:r>
    </w:p>
    <w:p w:rsidR="00157E6F" w:rsidRPr="00157E6F" w:rsidRDefault="00157E6F" w:rsidP="00157E6F">
      <w:pPr>
        <w:spacing w:after="0" w:line="24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numPr>
          <w:ilvl w:val="0"/>
          <w:numId w:val="14"/>
        </w:numPr>
        <w:spacing w:after="0" w:line="240" w:lineRule="auto"/>
        <w:ind w:left="57" w:right="57" w:firstLine="31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ПОРЯДОК ФИНАНСИРОВАНИЯ  ПРЕМИИ  ЛУЧШИМ ВЫПУСКНИКАМ</w:t>
      </w:r>
    </w:p>
    <w:p w:rsidR="00157E6F" w:rsidRPr="00157E6F" w:rsidRDefault="00157E6F" w:rsidP="00157E6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57" w:firstLine="55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Финансирование  Премии  осуществляется в соответствии с бюджетной росписью в пределах средств, предусмотренных на эти цели в районном бюджете. </w:t>
      </w:r>
    </w:p>
    <w:p w:rsidR="00157E6F" w:rsidRPr="00157E6F" w:rsidRDefault="00157E6F" w:rsidP="00157E6F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57" w:right="57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целевое использование средств возлагается на Управление образования.</w:t>
      </w:r>
    </w:p>
    <w:p w:rsidR="00157E6F" w:rsidRPr="00157E6F" w:rsidRDefault="00157E6F" w:rsidP="00157E6F">
      <w:pPr>
        <w:spacing w:after="0" w:line="240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right="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3935"/>
      </w:tblGrid>
      <w:tr w:rsidR="00157E6F" w:rsidRPr="00157E6F" w:rsidTr="00D14C45">
        <w:tc>
          <w:tcPr>
            <w:tcW w:w="5637" w:type="dxa"/>
          </w:tcPr>
          <w:p w:rsidR="00157E6F" w:rsidRPr="00157E6F" w:rsidRDefault="00157E6F" w:rsidP="00D14C45">
            <w:pPr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</w:tcPr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1 к Положению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о выплате  Премии  лучшим 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выпускникам района</w:t>
            </w:r>
          </w:p>
        </w:tc>
      </w:tr>
    </w:tbl>
    <w:p w:rsidR="00157E6F" w:rsidRPr="00157E6F" w:rsidRDefault="00157E6F" w:rsidP="00157E6F">
      <w:pPr>
        <w:spacing w:after="0" w:line="240" w:lineRule="auto"/>
        <w:ind w:left="450" w:right="5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КРИТЕРИИ ОТБОРА КАНДИДАТОВ НА ПРИСУЖДЕНИЕ  ПРЕМИИ </w:t>
      </w:r>
    </w:p>
    <w:p w:rsidR="00157E6F" w:rsidRPr="00157E6F" w:rsidRDefault="00157E6F" w:rsidP="00157E6F">
      <w:pPr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ЛУЧШИМ ВЫПУСКНИКАМ РАЙОНА</w:t>
      </w:r>
    </w:p>
    <w:p w:rsidR="00157E6F" w:rsidRPr="00157E6F" w:rsidRDefault="00157E6F" w:rsidP="00157E6F">
      <w:pPr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1.В номинации «За высокие достижения в интеллектуальной деятельности»</w:t>
      </w:r>
    </w:p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4"/>
        <w:tblW w:w="5000" w:type="pct"/>
        <w:tblLook w:val="04A0"/>
      </w:tblPr>
      <w:tblGrid>
        <w:gridCol w:w="569"/>
        <w:gridCol w:w="5710"/>
        <w:gridCol w:w="1864"/>
        <w:gridCol w:w="1428"/>
      </w:tblGrid>
      <w:tr w:rsidR="00157E6F" w:rsidRPr="00157E6F" w:rsidTr="00D14C45">
        <w:tc>
          <w:tcPr>
            <w:tcW w:w="297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983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974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</w:t>
            </w:r>
          </w:p>
        </w:tc>
        <w:tc>
          <w:tcPr>
            <w:tcW w:w="74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Баллы</w:t>
            </w:r>
          </w:p>
        </w:tc>
      </w:tr>
      <w:tr w:rsidR="00157E6F" w:rsidRPr="00157E6F" w:rsidTr="00D14C45">
        <w:tc>
          <w:tcPr>
            <w:tcW w:w="297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83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(олимпиадах, конференциях, конкурсах и. пр.) международного уровня</w:t>
            </w:r>
          </w:p>
        </w:tc>
        <w:tc>
          <w:tcPr>
            <w:tcW w:w="974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4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157E6F" w:rsidRPr="00157E6F" w:rsidTr="00D14C45">
        <w:tc>
          <w:tcPr>
            <w:tcW w:w="297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83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(олимпиадах, конференциях, конкурсах и. пр.) всероссийского уровня</w:t>
            </w:r>
          </w:p>
        </w:tc>
        <w:tc>
          <w:tcPr>
            <w:tcW w:w="974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4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157E6F" w:rsidRPr="00157E6F" w:rsidTr="00D14C45">
        <w:tc>
          <w:tcPr>
            <w:tcW w:w="297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83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(олимпиадах, конференциях, конкурсах и. пр.) регионального уровня</w:t>
            </w:r>
          </w:p>
        </w:tc>
        <w:tc>
          <w:tcPr>
            <w:tcW w:w="974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4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157E6F" w:rsidRPr="00157E6F" w:rsidTr="00D14C45">
        <w:tc>
          <w:tcPr>
            <w:tcW w:w="297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83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(олимпиадах, конференциях, конкурсах и. пр.) муниципального уровня</w:t>
            </w:r>
          </w:p>
        </w:tc>
        <w:tc>
          <w:tcPr>
            <w:tcW w:w="974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1</w:t>
            </w:r>
          </w:p>
        </w:tc>
      </w:tr>
      <w:tr w:rsidR="00157E6F" w:rsidRPr="00157E6F" w:rsidTr="00D14C45">
        <w:tc>
          <w:tcPr>
            <w:tcW w:w="297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3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Успеваемость </w:t>
            </w:r>
          </w:p>
        </w:tc>
        <w:tc>
          <w:tcPr>
            <w:tcW w:w="974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Отличник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Хорошист</w:t>
            </w:r>
          </w:p>
        </w:tc>
        <w:tc>
          <w:tcPr>
            <w:tcW w:w="74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</w:tbl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2.В номинации «За высокие достижения в творческой деятельности»</w:t>
      </w:r>
    </w:p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4"/>
        <w:tblW w:w="5000" w:type="pct"/>
        <w:tblLook w:val="04A0"/>
      </w:tblPr>
      <w:tblGrid>
        <w:gridCol w:w="577"/>
        <w:gridCol w:w="5662"/>
        <w:gridCol w:w="1887"/>
        <w:gridCol w:w="1445"/>
      </w:tblGrid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Баллы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(выставках, конкурсах художественного, технического творчества и. пр.) международного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(выставках, конкурсах художественного, технического творчества и. пр.)  всероссийского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</w:t>
            </w:r>
            <w:proofErr w:type="gramStart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х(</w:t>
            </w:r>
            <w:proofErr w:type="gramEnd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выставках, конкурсах художественного, технического творчества и. пр.) регионального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(выставках, конкурсах художественного, технического творчества и. пр.) муниципального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1</w:t>
            </w:r>
          </w:p>
        </w:tc>
      </w:tr>
    </w:tbl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3.В номинации «За высокие достижения в спортивной деятельности»</w:t>
      </w:r>
    </w:p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4"/>
        <w:tblW w:w="5000" w:type="pct"/>
        <w:tblLook w:val="04A0"/>
      </w:tblPr>
      <w:tblGrid>
        <w:gridCol w:w="577"/>
        <w:gridCol w:w="5662"/>
        <w:gridCol w:w="1887"/>
        <w:gridCol w:w="1445"/>
      </w:tblGrid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Баллы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(соревнованиях, турнирах, спортивных состязаниях и. пр.) международного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(соревнованиях, турнирах, спортивных состязаниях и. пр.) всероссийского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(соревнованиях, турнирах, спортивных состязаниях и. пр.) регионального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(соревнованиях, турнирах, спортивных состязаниях и. пр.) муниципального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1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«Кандидат в мастера спорта», «Мастер спорта»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Мастер спорта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Кандидат в мастера спорта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</w:tbl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4.В номинации «За высокие достижения в общественно-полезной деятельности»</w:t>
      </w:r>
    </w:p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4"/>
        <w:tblW w:w="5000" w:type="pct"/>
        <w:tblLook w:val="04A0"/>
      </w:tblPr>
      <w:tblGrid>
        <w:gridCol w:w="577"/>
        <w:gridCol w:w="5662"/>
        <w:gridCol w:w="1887"/>
        <w:gridCol w:w="1445"/>
      </w:tblGrid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Баллы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(социальных акциях, проектах и. пр.) международного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Участие в мероприятиях (социальных акциях, проектах и. пр.) всероссийского </w:t>
            </w: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(социальных акциях, проектах и. пр.) регионального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157E6F" w:rsidRPr="00157E6F" w:rsidTr="00D14C45">
        <w:tc>
          <w:tcPr>
            <w:tcW w:w="301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8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Участие в мероприятиях (социальных акциях, проектах и. пр.) муниципального уровня</w:t>
            </w:r>
          </w:p>
        </w:tc>
        <w:tc>
          <w:tcPr>
            <w:tcW w:w="986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Победитель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Призер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</w:tcPr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2</w:t>
            </w:r>
          </w:p>
          <w:p w:rsidR="00157E6F" w:rsidRPr="00157E6F" w:rsidRDefault="00157E6F" w:rsidP="00D14C45">
            <w:pPr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двух и более – 1</w:t>
            </w:r>
          </w:p>
        </w:tc>
      </w:tr>
    </w:tbl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2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157E6F" w:rsidRPr="00157E6F" w:rsidTr="00D14C45">
        <w:tc>
          <w:tcPr>
            <w:tcW w:w="5920" w:type="dxa"/>
          </w:tcPr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2 к  постановлению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r w:rsidRPr="00157E6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22</w:t>
            </w: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.05.2025   № </w:t>
            </w:r>
            <w:r w:rsidRPr="00157E6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425</w:t>
            </w: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</w:t>
            </w:r>
            <w:proofErr w:type="spellStart"/>
            <w:proofErr w:type="gramStart"/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157E6F" w:rsidRPr="00157E6F" w:rsidRDefault="00157E6F" w:rsidP="00D14C45">
            <w:pPr>
              <w:ind w:left="57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57E6F" w:rsidRPr="00157E6F" w:rsidRDefault="00157E6F" w:rsidP="00157E6F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124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0"/>
        <w:gridCol w:w="4814"/>
      </w:tblGrid>
      <w:tr w:rsidR="00157E6F" w:rsidRPr="00157E6F" w:rsidTr="00D14C45">
        <w:tc>
          <w:tcPr>
            <w:tcW w:w="4926" w:type="dxa"/>
          </w:tcPr>
          <w:p w:rsidR="00157E6F" w:rsidRPr="00157E6F" w:rsidRDefault="00157E6F" w:rsidP="00D14C45">
            <w:pPr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</w:tcPr>
          <w:p w:rsidR="00157E6F" w:rsidRPr="00157E6F" w:rsidRDefault="00157E6F" w:rsidP="00D14C45">
            <w:pPr>
              <w:ind w:left="1005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2 к  постановлению</w:t>
            </w:r>
          </w:p>
          <w:p w:rsidR="00157E6F" w:rsidRPr="00157E6F" w:rsidRDefault="00157E6F" w:rsidP="00D14C45">
            <w:pPr>
              <w:ind w:left="1005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157E6F" w:rsidRPr="00157E6F" w:rsidRDefault="00157E6F" w:rsidP="00D14C45">
            <w:pPr>
              <w:ind w:left="1005"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 10.06. 2024   №  538  -</w:t>
            </w:r>
            <w:proofErr w:type="spellStart"/>
            <w:proofErr w:type="gramStart"/>
            <w:r w:rsidRPr="00157E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157E6F" w:rsidRPr="00157E6F" w:rsidRDefault="00157E6F" w:rsidP="00D14C45">
            <w:pPr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57E6F" w:rsidRPr="00157E6F" w:rsidRDefault="00157E6F" w:rsidP="00157E6F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>СОСТАВ КОМИССИИ ПО ОТБОРУ КАНДИДАТОВ НА  ПРИСУЖДЕНИЕ</w:t>
      </w:r>
    </w:p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E6F">
        <w:rPr>
          <w:rFonts w:ascii="Arial" w:eastAsia="Times New Roman" w:hAnsi="Arial" w:cs="Arial"/>
          <w:sz w:val="20"/>
          <w:szCs w:val="20"/>
          <w:lang w:eastAsia="ru-RU"/>
        </w:rPr>
        <w:t xml:space="preserve">  ПРЕМИИ    (МАТЕРИАЛЬНОГО ПООЩРЕНИЯ) ЛУЧШИМ ВЫПУСКНИКАМ МУНИЦИПАЛЬНЫХ ОБРАЗОВАТЕЛЬНЫХ ОРГАНИЗАЦИЙ БОГУЧАНСКОГО РАЙОНА, ПРОЯВИВШИЕ СЕБЯ В ИНТЕЛЛЕКТУАЛЬНОЙ, ТВОРЧЕСКОЙ, СПОРТИВНОЙ И ОБЩЕСТВЕННО-ПОЛЕЗНОЙ ДЕЯТЕЛЬНОСТИ (КОМИССИЯ ПО ОТБОРУ КАНДИДАТОВ)</w:t>
      </w:r>
    </w:p>
    <w:p w:rsidR="00157E6F" w:rsidRPr="00157E6F" w:rsidRDefault="00157E6F" w:rsidP="00157E6F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7E6F" w:rsidRPr="00157E6F" w:rsidRDefault="00157E6F" w:rsidP="00157E6F">
      <w:pPr>
        <w:spacing w:after="0" w:line="240" w:lineRule="auto"/>
        <w:ind w:right="5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114"/>
        <w:gridCol w:w="5004"/>
      </w:tblGrid>
      <w:tr w:rsidR="00157E6F" w:rsidRPr="00157E6F" w:rsidTr="00D14C45">
        <w:tc>
          <w:tcPr>
            <w:tcW w:w="237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49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Брюханов</w:t>
            </w:r>
            <w:proofErr w:type="gramEnd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Иван Маркович</w:t>
            </w:r>
          </w:p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4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социальным вопросам; председатель комиссии</w:t>
            </w:r>
          </w:p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57E6F" w:rsidRPr="00157E6F" w:rsidTr="00D14C45">
        <w:tc>
          <w:tcPr>
            <w:tcW w:w="237" w:type="pct"/>
            <w:shd w:val="clear" w:color="auto" w:fill="FFFFFF"/>
          </w:tcPr>
          <w:p w:rsidR="00157E6F" w:rsidRPr="00157E6F" w:rsidRDefault="00157E6F" w:rsidP="00D14C45">
            <w:pPr>
              <w:spacing w:after="0" w:line="240" w:lineRule="auto"/>
              <w:ind w:right="57"/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2149" w:type="pct"/>
            <w:shd w:val="clear" w:color="auto" w:fill="FFFFFF"/>
          </w:tcPr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Зайцева Нина Анатольевна</w:t>
            </w:r>
          </w:p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614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образования администрации </w:t>
            </w:r>
            <w:proofErr w:type="spellStart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зам</w:t>
            </w:r>
            <w:proofErr w:type="gramStart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редседателя комиссии;</w:t>
            </w:r>
          </w:p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57E6F" w:rsidRPr="00157E6F" w:rsidTr="00D14C45">
        <w:tc>
          <w:tcPr>
            <w:tcW w:w="237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9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Бирюкова  Кристина Константиновна</w:t>
            </w:r>
          </w:p>
        </w:tc>
        <w:tc>
          <w:tcPr>
            <w:tcW w:w="2614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информационно- методического отдела  МКУ ЦОДУО, секретарь комиссии;</w:t>
            </w:r>
          </w:p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57E6F" w:rsidRPr="00157E6F" w:rsidTr="00D14C45">
        <w:tc>
          <w:tcPr>
            <w:tcW w:w="237" w:type="pct"/>
            <w:shd w:val="clear" w:color="auto" w:fill="FFFFFF"/>
          </w:tcPr>
          <w:p w:rsidR="00157E6F" w:rsidRPr="00157E6F" w:rsidRDefault="00157E6F" w:rsidP="00157E6F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9" w:type="pct"/>
            <w:shd w:val="clear" w:color="auto" w:fill="FFFFFF"/>
          </w:tcPr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Назарова Татьяна Георгиевна</w:t>
            </w:r>
          </w:p>
        </w:tc>
        <w:tc>
          <w:tcPr>
            <w:tcW w:w="2614" w:type="pct"/>
            <w:shd w:val="clear" w:color="auto" w:fill="FFFFFF"/>
          </w:tcPr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директор МБОУ ДОД «Центр роста», член комиссии;</w:t>
            </w:r>
          </w:p>
          <w:p w:rsidR="00157E6F" w:rsidRPr="00157E6F" w:rsidRDefault="00157E6F" w:rsidP="00D14C45">
            <w:pPr>
              <w:shd w:val="clear" w:color="auto" w:fill="FFFFFF"/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57E6F" w:rsidRPr="00157E6F" w:rsidTr="00D14C45">
        <w:tc>
          <w:tcPr>
            <w:tcW w:w="237" w:type="pct"/>
          </w:tcPr>
          <w:p w:rsidR="00157E6F" w:rsidRPr="00157E6F" w:rsidRDefault="00157E6F" w:rsidP="00157E6F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9" w:type="pct"/>
          </w:tcPr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4" w:type="pct"/>
          </w:tcPr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МКУ «</w:t>
            </w:r>
            <w:r w:rsidRPr="00157E6F">
              <w:rPr>
                <w:rFonts w:ascii="Arial" w:eastAsia="Times New Roman" w:hAnsi="Arial" w:cs="Arial"/>
                <w:bCs/>
                <w:kern w:val="36"/>
                <w:sz w:val="14"/>
                <w:szCs w:val="14"/>
                <w:lang w:eastAsia="ru-RU"/>
              </w:rPr>
              <w:t xml:space="preserve">Управление культуры, физической культуры, спорта и молодежной политики </w:t>
            </w:r>
            <w:proofErr w:type="spellStart"/>
            <w:r w:rsidRPr="00157E6F">
              <w:rPr>
                <w:rFonts w:ascii="Arial" w:eastAsia="Times New Roman" w:hAnsi="Arial" w:cs="Arial"/>
                <w:bCs/>
                <w:kern w:val="36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57E6F">
              <w:rPr>
                <w:rFonts w:ascii="Arial" w:eastAsia="Times New Roman" w:hAnsi="Arial" w:cs="Arial"/>
                <w:bCs/>
                <w:kern w:val="36"/>
                <w:sz w:val="14"/>
                <w:szCs w:val="14"/>
                <w:lang w:eastAsia="ru-RU"/>
              </w:rPr>
              <w:t xml:space="preserve"> района</w:t>
            </w: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»,  член комиссии;</w:t>
            </w:r>
          </w:p>
          <w:p w:rsidR="00157E6F" w:rsidRPr="00157E6F" w:rsidRDefault="00157E6F" w:rsidP="00D14C45">
            <w:pPr>
              <w:tabs>
                <w:tab w:val="left" w:pos="0"/>
                <w:tab w:val="left" w:pos="1134"/>
              </w:tabs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57E6F" w:rsidRPr="00157E6F" w:rsidTr="00D14C45">
        <w:tc>
          <w:tcPr>
            <w:tcW w:w="237" w:type="pct"/>
          </w:tcPr>
          <w:p w:rsidR="00157E6F" w:rsidRPr="00157E6F" w:rsidRDefault="00157E6F" w:rsidP="00157E6F">
            <w:pPr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9" w:type="pct"/>
          </w:tcPr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Пискунов Евгений Владимирович</w:t>
            </w:r>
          </w:p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57E6F" w:rsidRPr="00157E6F" w:rsidRDefault="00157E6F" w:rsidP="00D14C45">
            <w:pPr>
              <w:spacing w:after="0" w:line="240" w:lineRule="auto"/>
              <w:ind w:right="57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614" w:type="pct"/>
          </w:tcPr>
          <w:p w:rsidR="00157E6F" w:rsidRPr="00157E6F" w:rsidRDefault="00157E6F" w:rsidP="00D14C45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директор МБОУ </w:t>
            </w:r>
            <w:proofErr w:type="gramStart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</w:t>
            </w:r>
            <w:proofErr w:type="gramEnd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</w:t>
            </w:r>
            <w:proofErr w:type="gramStart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Спортивная</w:t>
            </w:r>
            <w:proofErr w:type="gramEnd"/>
            <w:r w:rsidRPr="00157E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школа», член комиссии;</w:t>
            </w:r>
          </w:p>
        </w:tc>
      </w:tr>
    </w:tbl>
    <w:p w:rsidR="00341EF7" w:rsidRDefault="00157E6F"/>
    <w:sectPr w:rsidR="00341EF7" w:rsidSect="000F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5EA"/>
    <w:multiLevelType w:val="multilevel"/>
    <w:tmpl w:val="C15C85E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97" w:hanging="13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110475FA"/>
    <w:multiLevelType w:val="hybridMultilevel"/>
    <w:tmpl w:val="859072E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519C"/>
    <w:multiLevelType w:val="hybridMultilevel"/>
    <w:tmpl w:val="20BC3C3C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71C1"/>
    <w:multiLevelType w:val="hybridMultilevel"/>
    <w:tmpl w:val="780CEAE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62A4"/>
    <w:multiLevelType w:val="hybridMultilevel"/>
    <w:tmpl w:val="E7A8CDF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45E56"/>
    <w:multiLevelType w:val="multilevel"/>
    <w:tmpl w:val="915844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4348D8"/>
    <w:multiLevelType w:val="hybridMultilevel"/>
    <w:tmpl w:val="A52867A6"/>
    <w:lvl w:ilvl="0" w:tplc="9110A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DA7C8B"/>
    <w:multiLevelType w:val="hybridMultilevel"/>
    <w:tmpl w:val="42E47A7A"/>
    <w:lvl w:ilvl="0" w:tplc="9110AA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0708C"/>
    <w:multiLevelType w:val="hybridMultilevel"/>
    <w:tmpl w:val="A99C6F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214730C"/>
    <w:multiLevelType w:val="multilevel"/>
    <w:tmpl w:val="D21A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8320348"/>
    <w:multiLevelType w:val="hybridMultilevel"/>
    <w:tmpl w:val="037CF62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64755"/>
    <w:multiLevelType w:val="hybridMultilevel"/>
    <w:tmpl w:val="A7F4C516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8397C"/>
    <w:multiLevelType w:val="hybridMultilevel"/>
    <w:tmpl w:val="FC4C7770"/>
    <w:lvl w:ilvl="0" w:tplc="9110AAFC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>
    <w:nsid w:val="405F33B6"/>
    <w:multiLevelType w:val="hybridMultilevel"/>
    <w:tmpl w:val="B9BA8C8E"/>
    <w:lvl w:ilvl="0" w:tplc="0419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855C2"/>
    <w:multiLevelType w:val="hybridMultilevel"/>
    <w:tmpl w:val="847E6F94"/>
    <w:lvl w:ilvl="0" w:tplc="9110AAF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499E03EA"/>
    <w:multiLevelType w:val="hybridMultilevel"/>
    <w:tmpl w:val="A2F87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57EAB"/>
    <w:multiLevelType w:val="multilevel"/>
    <w:tmpl w:val="61B6DD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205476F"/>
    <w:multiLevelType w:val="hybridMultilevel"/>
    <w:tmpl w:val="80BE5FE8"/>
    <w:lvl w:ilvl="0" w:tplc="9110A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074CEC"/>
    <w:multiLevelType w:val="hybridMultilevel"/>
    <w:tmpl w:val="905826BC"/>
    <w:lvl w:ilvl="0" w:tplc="9110AAF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69745A9A"/>
    <w:multiLevelType w:val="multilevel"/>
    <w:tmpl w:val="4094D704"/>
    <w:lvl w:ilvl="0">
      <w:start w:val="1"/>
      <w:numFmt w:val="bullet"/>
      <w:lvlText w:val=""/>
      <w:lvlJc w:val="left"/>
      <w:pPr>
        <w:ind w:left="1320" w:hanging="132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54" w:hanging="13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0">
    <w:nsid w:val="79DE1D65"/>
    <w:multiLevelType w:val="hybridMultilevel"/>
    <w:tmpl w:val="BC3029A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5"/>
  </w:num>
  <w:num w:numId="5">
    <w:abstractNumId w:val="17"/>
  </w:num>
  <w:num w:numId="6">
    <w:abstractNumId w:val="6"/>
  </w:num>
  <w:num w:numId="7">
    <w:abstractNumId w:val="18"/>
  </w:num>
  <w:num w:numId="8">
    <w:abstractNumId w:val="13"/>
  </w:num>
  <w:num w:numId="9">
    <w:abstractNumId w:val="14"/>
  </w:num>
  <w:num w:numId="10">
    <w:abstractNumId w:val="20"/>
  </w:num>
  <w:num w:numId="11">
    <w:abstractNumId w:val="4"/>
  </w:num>
  <w:num w:numId="12">
    <w:abstractNumId w:val="11"/>
  </w:num>
  <w:num w:numId="13">
    <w:abstractNumId w:val="7"/>
  </w:num>
  <w:num w:numId="14">
    <w:abstractNumId w:val="16"/>
  </w:num>
  <w:num w:numId="15">
    <w:abstractNumId w:val="12"/>
  </w:num>
  <w:num w:numId="16">
    <w:abstractNumId w:val="19"/>
  </w:num>
  <w:num w:numId="17">
    <w:abstractNumId w:val="8"/>
  </w:num>
  <w:num w:numId="18">
    <w:abstractNumId w:val="1"/>
  </w:num>
  <w:num w:numId="19">
    <w:abstractNumId w:val="10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7E6F"/>
    <w:rsid w:val="000F06A4"/>
    <w:rsid w:val="00157E6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4">
    <w:name w:val="Сетка таблицы124"/>
    <w:basedOn w:val="a1"/>
    <w:next w:val="a3"/>
    <w:uiPriority w:val="39"/>
    <w:rsid w:val="00157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57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15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157E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3172</Words>
  <Characters>18086</Characters>
  <Application>Microsoft Office Word</Application>
  <DocSecurity>0</DocSecurity>
  <Lines>150</Lines>
  <Paragraphs>42</Paragraphs>
  <ScaleCrop>false</ScaleCrop>
  <Company/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2025-06-02T10:55:00Z</dcterms:created>
  <dcterms:modified xsi:type="dcterms:W3CDTF">2025-06-02T10:55:00Z</dcterms:modified>
</cp:coreProperties>
</file>