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</w:p>
    <w:p w:rsidR="008A2B5F" w:rsidRDefault="008A2B5F" w:rsidP="008A2B5F">
      <w:pPr>
        <w:jc w:val="center"/>
        <w:rPr>
          <w:b/>
          <w:bCs/>
          <w:sz w:val="28"/>
          <w:szCs w:val="28"/>
          <w:u w:val="words"/>
        </w:rPr>
      </w:pPr>
      <w:r>
        <w:rPr>
          <w:b/>
          <w:bCs/>
          <w:sz w:val="28"/>
          <w:szCs w:val="28"/>
          <w:u w:val="words"/>
        </w:rPr>
        <w:t xml:space="preserve">Пояснительная записка к Докладу  Главы  Богучанского района </w:t>
      </w:r>
    </w:p>
    <w:p w:rsidR="008A2B5F" w:rsidRDefault="008A2B5F" w:rsidP="008A2B5F">
      <w:pPr>
        <w:jc w:val="center"/>
        <w:rPr>
          <w:sz w:val="20"/>
          <w:szCs w:val="20"/>
          <w:u w:val="words"/>
        </w:rPr>
      </w:pPr>
      <w:r>
        <w:rPr>
          <w:b/>
          <w:bCs/>
          <w:sz w:val="28"/>
          <w:szCs w:val="28"/>
          <w:u w:val="words"/>
        </w:rPr>
        <w:t xml:space="preserve">Любима Виктора Михайловича </w:t>
      </w:r>
    </w:p>
    <w:p w:rsidR="008A2B5F" w:rsidRDefault="008A2B5F" w:rsidP="008A2B5F">
      <w:pPr>
        <w:jc w:val="center"/>
        <w:rPr>
          <w:sz w:val="20"/>
          <w:szCs w:val="20"/>
          <w:u w:val="words"/>
        </w:rPr>
      </w:pPr>
      <w:r>
        <w:rPr>
          <w:sz w:val="20"/>
          <w:szCs w:val="20"/>
          <w:u w:val="words"/>
        </w:rPr>
        <w:t>наименование городского округа (муниципального района)</w:t>
      </w:r>
    </w:p>
    <w:p w:rsidR="008A2B5F" w:rsidRDefault="008A2B5F" w:rsidP="008A2B5F">
      <w:pPr>
        <w:widowControl/>
        <w:spacing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>
        <w:rPr>
          <w:b/>
          <w:bCs/>
          <w:sz w:val="28"/>
          <w:szCs w:val="28"/>
        </w:rPr>
        <w:br/>
        <w:t xml:space="preserve">городских округов и муниципальных районов </w:t>
      </w:r>
      <w:r>
        <w:rPr>
          <w:b/>
          <w:bCs/>
          <w:sz w:val="28"/>
          <w:szCs w:val="28"/>
        </w:rPr>
        <w:br/>
        <w:t>за 2021 год и их планируемых значениях на 3-летний период</w:t>
      </w:r>
    </w:p>
    <w:p w:rsidR="008A2B5F" w:rsidRDefault="008A2B5F" w:rsidP="008A2B5F">
      <w:pPr>
        <w:rPr>
          <w:sz w:val="20"/>
          <w:szCs w:val="20"/>
        </w:rPr>
      </w:pPr>
    </w:p>
    <w:p w:rsidR="00E83C73" w:rsidRDefault="00E83C73">
      <w:pPr>
        <w:rPr>
          <w:color w:val="000000"/>
          <w:sz w:val="12"/>
          <w:szCs w:val="12"/>
        </w:rPr>
      </w:pPr>
    </w:p>
    <w:p w:rsidR="008A2B5F" w:rsidRDefault="008A2B5F">
      <w:pPr>
        <w:rPr>
          <w:color w:val="000000"/>
          <w:sz w:val="12"/>
          <w:szCs w:val="12"/>
        </w:rPr>
      </w:pPr>
    </w:p>
    <w:p w:rsidR="008A2B5F" w:rsidRDefault="008A2B5F">
      <w:pPr>
        <w:rPr>
          <w:color w:val="000000"/>
          <w:sz w:val="12"/>
          <w:szCs w:val="12"/>
        </w:rPr>
      </w:pPr>
    </w:p>
    <w:p w:rsidR="008A2B5F" w:rsidRDefault="008A2B5F">
      <w:pPr>
        <w:rPr>
          <w:color w:val="000000"/>
          <w:sz w:val="12"/>
          <w:szCs w:val="12"/>
        </w:rPr>
      </w:pPr>
    </w:p>
    <w:p w:rsidR="008A2B5F" w:rsidRDefault="008A2B5F">
      <w:pPr>
        <w:rPr>
          <w:color w:val="000000"/>
          <w:sz w:val="12"/>
          <w:szCs w:val="12"/>
        </w:rPr>
      </w:pPr>
    </w:p>
    <w:p w:rsidR="008A2B5F" w:rsidRDefault="008A2B5F">
      <w:pPr>
        <w:rPr>
          <w:color w:val="000000"/>
          <w:sz w:val="12"/>
          <w:szCs w:val="12"/>
        </w:rPr>
      </w:pPr>
    </w:p>
    <w:p w:rsidR="008A2B5F" w:rsidRDefault="008A2B5F">
      <w:pPr>
        <w:rPr>
          <w:color w:val="000000"/>
          <w:sz w:val="12"/>
          <w:szCs w:val="12"/>
        </w:rPr>
      </w:pPr>
    </w:p>
    <w:p w:rsidR="008A2B5F" w:rsidRDefault="008A2B5F">
      <w:pPr>
        <w:rPr>
          <w:color w:val="000000"/>
          <w:sz w:val="12"/>
          <w:szCs w:val="12"/>
        </w:rPr>
      </w:pPr>
    </w:p>
    <w:p w:rsidR="008A2B5F" w:rsidRDefault="008A2B5F">
      <w:pPr>
        <w:rPr>
          <w:color w:val="000000"/>
          <w:sz w:val="12"/>
          <w:szCs w:val="12"/>
        </w:rPr>
      </w:pPr>
    </w:p>
    <w:p w:rsidR="008A2B5F" w:rsidRDefault="008A2B5F">
      <w:pPr>
        <w:rPr>
          <w:color w:val="000000"/>
          <w:sz w:val="12"/>
          <w:szCs w:val="12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8A2B5F" w:rsidRDefault="008A2B5F">
      <w:pPr>
        <w:rPr>
          <w:b/>
          <w:bCs/>
          <w:color w:val="000000"/>
          <w:sz w:val="28"/>
          <w:szCs w:val="28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 xml:space="preserve">I. Экономическое развитие </w:t>
      </w:r>
    </w:p>
    <w:p w:rsidR="00E83C73" w:rsidRDefault="00E83C73"/>
    <w:p w:rsidR="00E83C73" w:rsidRDefault="00E83C73">
      <w:pPr>
        <w:widowControl/>
        <w:tabs>
          <w:tab w:val="left" w:pos="720"/>
        </w:tabs>
        <w:ind w:lef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реализации Указа Президента Российской Федерации от 28.04.2008 № 607 «Об оценке эффективности деятельности органов местного самоуправления городских округов и  муниципальных районов»  подготовлен доклад о достигнутых значениях показателей для оценки эффективности деятельности муниципального района за 2021 год и их планируемых значениях на 3-летний период. </w:t>
      </w:r>
    </w:p>
    <w:p w:rsidR="00E83C73" w:rsidRDefault="00E83C73">
      <w:pPr>
        <w:widowControl/>
        <w:tabs>
          <w:tab w:val="left" w:pos="567"/>
          <w:tab w:val="left" w:pos="720"/>
        </w:tabs>
        <w:ind w:left="80" w:firstLine="70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Структура и показатели Доклада отражают </w:t>
      </w:r>
      <w:r>
        <w:rPr>
          <w:sz w:val="28"/>
          <w:szCs w:val="28"/>
        </w:rPr>
        <w:t>вопросы местного значения муниципального района и полномочия органов местного самоуправления по решению этих вопросов, регламентируемые Федеральным законом «Об общих принципах организации местного самоуправления в Российской Федерации».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Богучанский  район образован в 1927 году. Он относится к районам, приравненным к районам Крайнего Севера, расположен на северо-востоке Красноярского края вдоль реки  Ангара. </w:t>
      </w:r>
    </w:p>
    <w:p w:rsidR="00E83C73" w:rsidRDefault="00E83C73">
      <w:pPr>
        <w:widowControl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Площадь  территории    района составляет 53,98 тыс. кв. км и простирается  с юга на север на 280 км. По своим размерам район занимает 3 место в крае. Районным  центром является с. Богучаны. Ближайшая железнодорожная станция – станция  «Карабула», расстояние её до районного центра 50 км.  В с. Богучаны имеется аэропорт. Расстояние  от районного  центра до краевого центра г. Красноярск 560 км. </w:t>
      </w:r>
    </w:p>
    <w:p w:rsidR="00E83C73" w:rsidRDefault="00E83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районе всего 29 населенных пунктов,   из них  11 населенных пунктов находятся на   правой стороне реки Ангары. Три межселенные территории входят в МО «Богучанский район». Все   19 муниципальных образований имеют  утвержденные границы.</w:t>
      </w:r>
    </w:p>
    <w:p w:rsidR="00E83C73" w:rsidRDefault="00E83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Богучанский район – наиболее динамично развивающаяся северная территория Красноярского края. Основными направлениями социально-экономического развития Богучанского района   являются развитие: лесоперерабатывающего производства,  цветной металлургии, нефтегазопереработки и транспортировки нефти, малого и среднего предпринимательства, транспортной инфраструктуры, социальной сферы.     </w:t>
      </w:r>
    </w:p>
    <w:p w:rsidR="00E83C73" w:rsidRDefault="00E83C73">
      <w:pPr>
        <w:pStyle w:val="8"/>
        <w:keepNext/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Численность постоянного населения  на 01.01.2022 года составила </w:t>
      </w:r>
      <w:r>
        <w:rPr>
          <w:sz w:val="28"/>
          <w:szCs w:val="28"/>
          <w:highlight w:val="white"/>
        </w:rPr>
        <w:t>44701человек.</w:t>
      </w:r>
    </w:p>
    <w:p w:rsidR="00E83C73" w:rsidRDefault="00E83C73">
      <w:pPr>
        <w:rPr>
          <w:rFonts w:ascii="Arial CYR" w:hAnsi="Arial CYR" w:cs="Arial CYR"/>
          <w:highlight w:val="white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1. Число субъектов малого и среднего предпринимательства,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E83C73" w:rsidRDefault="00E83C73"/>
    <w:p w:rsidR="00E83C73" w:rsidRDefault="00E83C7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 Число субъектов малого и среднего предпринимательства</w:t>
      </w:r>
    </w:p>
    <w:p w:rsidR="00E83C73" w:rsidRDefault="00E83C73">
      <w:pPr>
        <w:widowControl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Малый и средний бизнес присутствует во многих отраслях экономики Богучанского района, в деятельность малых и средних предприятий вовлечены все социальные группы населения. Развитие предпринимательства оказывает непосредственное влияние на общее состояние экономики района, способствует насыщению рынка товарами и услугами, развитию экономически оправданной конкуренции, созданию новых рабочих мест и новых производств, а также формированию налоговой базы.  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>Число субъектов малого и среднего предпринимательства единиц на 10 тыс.  человек населения  составило в 2021 году 317 единиц (2019 году -                      329,68  единиц, в 2020 году -  319,06 единиц), показатель снизился  по сравнению с 2020 годом на 0,65%.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индивидуальных </w:t>
      </w:r>
      <w:r>
        <w:rPr>
          <w:sz w:val="28"/>
          <w:szCs w:val="28"/>
        </w:rPr>
        <w:t xml:space="preserve">предпринимателей </w:t>
      </w:r>
      <w:r>
        <w:rPr>
          <w:sz w:val="28"/>
          <w:szCs w:val="28"/>
          <w:highlight w:val="white"/>
        </w:rPr>
        <w:t xml:space="preserve"> в 2020 году  </w:t>
      </w:r>
      <w:r>
        <w:rPr>
          <w:color w:val="000000"/>
          <w:sz w:val="28"/>
          <w:szCs w:val="28"/>
        </w:rPr>
        <w:t>1197</w:t>
      </w:r>
      <w:r>
        <w:rPr>
          <w:sz w:val="28"/>
          <w:szCs w:val="28"/>
          <w:highlight w:val="white"/>
        </w:rPr>
        <w:t xml:space="preserve"> единиц в 2021 году 1177 единиц,  показатель снизился на 1,67%.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2020  году количество микропредприятий,  малых и средних предприятий включая,  крестьянско-фермерские хозяйства   составило      </w:t>
      </w:r>
      <w:r>
        <w:rPr>
          <w:color w:val="000000"/>
          <w:sz w:val="28"/>
          <w:szCs w:val="28"/>
        </w:rPr>
        <w:t>239</w:t>
      </w:r>
      <w:r>
        <w:rPr>
          <w:sz w:val="28"/>
          <w:szCs w:val="28"/>
          <w:highlight w:val="white"/>
        </w:rPr>
        <w:t xml:space="preserve"> единиц,   в 2021 году </w:t>
      </w:r>
      <w:r>
        <w:rPr>
          <w:color w:val="000000"/>
          <w:sz w:val="28"/>
          <w:szCs w:val="28"/>
        </w:rPr>
        <w:t xml:space="preserve">238 </w:t>
      </w:r>
      <w:r>
        <w:rPr>
          <w:sz w:val="28"/>
          <w:szCs w:val="28"/>
          <w:highlight w:val="white"/>
        </w:rPr>
        <w:t xml:space="preserve">единиц,  снижение  на 1  единицу, крестьянско-фермерские хозяйства  в 2021 году  20  единиц.   </w:t>
      </w:r>
    </w:p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Богучанского района   постановлением администрации Богучанского района от 01.11.2013 года № 1389-п утверждена и действует  муниципальная программа «Развитие инвестиционной  деятельности, малого и среднего предпринимательства на  территории  Богучанского района» (в редакции постановления администрации Богучанского района от 07.09.2020 № 908-п;  15.11.2021 № 980-п) (далее - Программа).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Программы утверждены правовые акты муниципального образования, устанавливающие порядки реализации программных мероприятий (с  изменениями и дополнениями):</w:t>
      </w:r>
    </w:p>
    <w:p w:rsidR="00E83C73" w:rsidRDefault="00E83C73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 администрации  Богучанского района  от  14.03.2019     № 235-п «Об утверждении порядка  предоставления субсидий субъектам малого и (или) среднего предпринимательства  на компенсацию затрат на уплату первого взноса (аванса) при заключении договоров лизинга оборудования  с российскими лизинговыми организациями в целях создания и (или) развития, и (или) модернизации  производства товаров (работ, услуг)» (в редакции постановления администрации Богучанского района от 07.02.2020 №114-п)- срок действия до 01.01.2022;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Богучанского района  от 14.03.2019 № 236-п</w:t>
      </w:r>
      <w:r>
        <w:rPr>
          <w:b/>
          <w:bCs/>
          <w:sz w:val="28"/>
          <w:szCs w:val="28"/>
        </w:rPr>
        <w:t xml:space="preserve">  «</w:t>
      </w:r>
      <w:r>
        <w:rPr>
          <w:sz w:val="28"/>
          <w:szCs w:val="28"/>
        </w:rPr>
        <w:t>Об утверждении Порядка  предоставления субсидии  субъектам  малого и  среднего предпринимательства на компенсацию затрат, произведенных в целях создания и (или) развития, и (или) модернизации производства товаров  (работ, услуг),  включая затраты на монтаж  оборудования»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постановления администрации Богучанского района от 07.02.2020 №115-п) – срок действия до 01.01.2022; </w:t>
      </w:r>
    </w:p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администрации Богучанского района от 04.09.2019                                                                               </w:t>
      </w:r>
      <w:r>
        <w:rPr>
          <w:sz w:val="28"/>
          <w:szCs w:val="28"/>
        </w:rPr>
        <w:lastRenderedPageBreak/>
        <w:t>№ 874-п «Об утверждении порядка предоставления  субсидии на поддержку субъектов малого и (или)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постановления администрации Богучанского района от 07.02.2020 №116-п);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администрации Богучанского  района от 19.02.2014  №      197-п «Об утверждении порядка предоставления субсидий субъектам малого и (или) среднего предпринимательства на возмещение части затрат по разработке бизнес-планов проектов, планирующих реализацию инвестиционных проектов»;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Богучанского района от 13.04.2020 № 386-п « Об утверждении Перечня муниципального имущества, необходимого для реализации мер по имущественной поддержке субъектов малого и среднего предпринимательства в Богучанском районе»  (в редакции постановление администрации Богучанского района от 09.03.2021 №169-п) 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 Богучанского района от 09.10.2020  № 1014-п утвержден  координационный совет  по развитию малого и среднего предпринимательства в Богучанском районе.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районном бюджете на мероприятия программы   в 2021 году предусмотрены средства   в сумме 763 тыс.рублей.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в период проведения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на реализацию муниципальных программ развития малого и среднего предпринимательства (далее- конкурс), администрация Богучанского района заявки на участие в конкурсе не подавала, ввиду их отсутствия. Соглашение о предоставлении субсидии в 2021 году не заключалось.</w:t>
      </w:r>
    </w:p>
    <w:p w:rsidR="00E83C73" w:rsidRDefault="00E83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2021год  освоено денежных средств в сумме 763 000 рублей (статья в газете «Ангарская правда» для субъектов малого и среднего предпринимательства (3000 руб.), муниципальный контракт № 53.05/51 от 27.05.2021 с ИП Сало С.П. на поставку подарочной, сувенирной продукции (10000 руб.). </w:t>
      </w:r>
    </w:p>
    <w:p w:rsidR="00E83C73" w:rsidRDefault="00E83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Предоставлена субсидия (постановление администрации Богучанского района от 29.12.2021 № 1171-п; соглашение № 1 от 29.12.2021 года) ООО «СПЕЦТЕХ» ИНН 2407014579 КПП 240701001 субсидию на возмещение части затрат, на уплату первого взноса (аванса) при заключении договоров лизинга оборудования, с российскими лизинговыми организациями в целях создания и (или) развития, либо модернизации  производства товаров (работ, услуг),   в размере  750000,00  рублей,   в том числе:  </w:t>
      </w:r>
    </w:p>
    <w:p w:rsidR="00E83C73" w:rsidRDefault="00E8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  из краевого    бюджета  0,00  рублей;</w:t>
      </w:r>
    </w:p>
    <w:p w:rsidR="00E83C73" w:rsidRDefault="00E8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  из районного  бюджета 750000,00  рублей. </w:t>
      </w:r>
    </w:p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 создано   4   рабочих  места,  </w:t>
      </w:r>
      <w:r>
        <w:rPr>
          <w:sz w:val="28"/>
          <w:szCs w:val="28"/>
        </w:rPr>
        <w:lastRenderedPageBreak/>
        <w:t>сохранено  2  рабочих  места. Привлечено инвестиций в секторе малого и среднего предпринимательства  сумме 65697 тыс. рублей.</w:t>
      </w:r>
    </w:p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официальном  сайте  муниципального  образования Богучанский  район в разделе «Малое предпринимательство» размещается  информация для субъектов малого и среднего предпринимательства. </w:t>
      </w:r>
    </w:p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программы «Развитие инвестиционной деятельности, малого и среднего предпринимательства на  территории  Богучанского района» на 2022 год внесены изменения в нормативно –правовые акты:</w:t>
      </w:r>
    </w:p>
    <w:p w:rsidR="00E83C73" w:rsidRDefault="00E83C73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 Постановление администрации Богучанского района  «О  внесении  изменений в постановление администрации Богучанского района от 01.11.2013 №1389-п</w:t>
      </w:r>
      <w:r>
        <w:rPr>
          <w:color w:val="000000"/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 xml:space="preserve">Развитие инвестиционной деятельности, малого и среднего предпринимательства на территории Богучанского района»»; </w:t>
      </w:r>
    </w:p>
    <w:p w:rsidR="00E83C73" w:rsidRDefault="00E83C73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Постановление   администрации Богучанского района «О признании утратившими силу отдельных постановлений» от 22.02.2022 № 115-п;</w:t>
      </w:r>
    </w:p>
    <w:p w:rsidR="00E83C73" w:rsidRPr="00DD31EC" w:rsidRDefault="00E83C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DD31EC">
        <w:rPr>
          <w:rFonts w:ascii="Times New Roman" w:hAnsi="Times New Roman" w:cs="Times New Roman"/>
          <w:sz w:val="28"/>
          <w:szCs w:val="28"/>
        </w:rPr>
        <w:t>Постановление   администрации Богучанского района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районе» от 22.02.2022 № 117-п;</w:t>
      </w:r>
    </w:p>
    <w:p w:rsidR="00E83C73" w:rsidRDefault="00E83C7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–   Постановление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Богучанском районе» от 25.02.2022 № 122-п;</w:t>
      </w:r>
    </w:p>
    <w:p w:rsidR="00E83C73" w:rsidRDefault="00E83C73">
      <w:pPr>
        <w:rPr>
          <w:sz w:val="28"/>
          <w:szCs w:val="28"/>
        </w:rPr>
      </w:pPr>
    </w:p>
    <w:p w:rsidR="00E83C73" w:rsidRDefault="00E83C7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4343"/>
        <w:gridCol w:w="1015"/>
        <w:gridCol w:w="1014"/>
        <w:gridCol w:w="873"/>
        <w:gridCol w:w="1134"/>
        <w:gridCol w:w="992"/>
      </w:tblGrid>
      <w:tr w:rsidR="00E83C73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Число субъектов малого и среднего предпринимательства в расчете на 10000 человек населения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 и единицы измерения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 показателя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факт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факт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прогноз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 Количество малых и микропредприятий, 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 Количество средних предприятий, 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 Количество индивидуальных предпринимателей, 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1 285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 в том числе количество крестьянско-фермерских хозяйств, 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Pr="00DD31EC" w:rsidRDefault="00E83C73">
            <w:pPr>
              <w:widowControl/>
              <w:rPr>
                <w:sz w:val="22"/>
                <w:szCs w:val="22"/>
              </w:rPr>
            </w:pPr>
            <w:r w:rsidRPr="00DD31EC">
              <w:rPr>
                <w:sz w:val="22"/>
                <w:szCs w:val="22"/>
              </w:rPr>
              <w:t xml:space="preserve">4. Численность постоянного населения муниципального, городского округа </w:t>
            </w:r>
            <w:r w:rsidRPr="00DD31EC">
              <w:rPr>
                <w:sz w:val="22"/>
                <w:szCs w:val="22"/>
              </w:rPr>
              <w:lastRenderedPageBreak/>
              <w:t xml:space="preserve">(муниципального района) </w:t>
            </w:r>
            <w:r w:rsidRPr="00DD31EC">
              <w:rPr>
                <w:b/>
                <w:bCs/>
                <w:sz w:val="22"/>
                <w:szCs w:val="22"/>
              </w:rPr>
              <w:t>на</w:t>
            </w:r>
            <w:r w:rsidRPr="00DD31EC">
              <w:rPr>
                <w:sz w:val="22"/>
                <w:szCs w:val="22"/>
              </w:rPr>
              <w:t xml:space="preserve"> </w:t>
            </w:r>
            <w:r w:rsidRPr="00DD31EC">
              <w:rPr>
                <w:b/>
                <w:bCs/>
                <w:sz w:val="22"/>
                <w:szCs w:val="22"/>
              </w:rPr>
              <w:t>конец отчетного года</w:t>
            </w:r>
            <w:r w:rsidRPr="00DD31EC">
              <w:rPr>
                <w:sz w:val="22"/>
                <w:szCs w:val="22"/>
              </w:rPr>
              <w:t>,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45039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43297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319,06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317,00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353,84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2 397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1 285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 в том числе в крестьянско-фермерских хозяйствах,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11 890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29,52</w:t>
            </w:r>
          </w:p>
        </w:tc>
      </w:tr>
    </w:tbl>
    <w:p w:rsidR="00E83C73" w:rsidRDefault="00E83C73">
      <w:pPr>
        <w:ind w:firstLine="709"/>
        <w:jc w:val="both"/>
        <w:rPr>
          <w:sz w:val="28"/>
          <w:szCs w:val="28"/>
        </w:rPr>
      </w:pPr>
    </w:p>
    <w:p w:rsidR="00E83C73" w:rsidRDefault="00E83C73">
      <w:pPr>
        <w:rPr>
          <w:sz w:val="20"/>
          <w:szCs w:val="20"/>
        </w:rPr>
      </w:pPr>
    </w:p>
    <w:p w:rsidR="00E83C73" w:rsidRDefault="00E83C73">
      <w:pPr>
        <w:rPr>
          <w:sz w:val="20"/>
          <w:szCs w:val="20"/>
        </w:rPr>
      </w:pPr>
    </w:p>
    <w:p w:rsidR="00E83C73" w:rsidRDefault="00E83C7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E83C73" w:rsidRDefault="00E83C73">
      <w:pPr>
        <w:shd w:val="clear" w:color="auto" w:fill="FFFFFF"/>
        <w:rPr>
          <w:color w:val="000000"/>
          <w:sz w:val="28"/>
          <w:szCs w:val="28"/>
        </w:rPr>
      </w:pP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Доля среднесписочной численности 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в 2021 году 28,32 % (в 2020 году -  27,90 %), показатель увеличился. 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  2022 году данный показатель увеличится незначительно до 28,80 %, за счет увеличения среднесписочной численности в малых предприятиях,   индивидуальных предпринимателей, работников у индивидуальных предпринимателей.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 xml:space="preserve">3. Объем инвестиций в основной капитал (за исключением бюджетных </w:t>
      </w:r>
      <w:r>
        <w:rPr>
          <w:b/>
          <w:bCs/>
          <w:color w:val="000000"/>
          <w:sz w:val="28"/>
          <w:szCs w:val="28"/>
        </w:rPr>
        <w:lastRenderedPageBreak/>
        <w:t>средств) в расчете на 1 человека</w:t>
      </w:r>
    </w:p>
    <w:p w:rsidR="00E83C73" w:rsidRDefault="00E83C73"/>
    <w:p w:rsidR="00E83C73" w:rsidRDefault="00E83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финансирования (</w:t>
      </w:r>
      <w:r>
        <w:rPr>
          <w:i/>
          <w:iCs/>
          <w:sz w:val="28"/>
          <w:szCs w:val="28"/>
        </w:rPr>
        <w:t>без субъектов малого предпринимательства</w:t>
      </w:r>
      <w:r>
        <w:rPr>
          <w:sz w:val="28"/>
          <w:szCs w:val="28"/>
        </w:rPr>
        <w:t>) за 2021 год составил 3 658 738,00  тыс. руб. (в 2020 году – 4 456 665,00  тыс. руб.), 76,44 % в сопоставимых ценах к 2020 году.</w:t>
      </w:r>
    </w:p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основным видам деятельности объем инвестиций в 2021 году составил:</w:t>
      </w:r>
    </w:p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«Обрабатывающие производства» (80,22% от общего объёма инвестиций) – 2 935 122,0 тыс. руб. (2020 год – 3 800 715,0 тыс. руб.), 71,90% в сопоставимых ценах. Снижение инвестиций связано с временным закрытием микропредприятий и индивидуальных предпринимателей занимающихся  обработкой древесины и производством изделий из дерева, изготовлением пиломатериалов. Временное приостановления деятельности предприятий связано с  коронавирусной инфекцией (2019-nCoV) . </w:t>
      </w:r>
    </w:p>
    <w:p w:rsidR="00E83C73" w:rsidRDefault="00E83C73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«Добыча полезных ископаемых» ( 9,03 % от общего объема инвестиций) – 330473 тыс. руб. (2020 год – 281591,0 тыс. рублей ) 109,27 %   в сопоставимых ценах. Снижение инвестиций связано со снижением предоставлений услуг в области добычи полезных ископаемых в 2021 году основных работ  по разведке и бурению скважин в Богучанском районе не проводилось. Уменьшилась добыча  строительных материалов (песок, щебень, камень)  на 33,54% (2020 году- 64,85 тыс. куб.м; 2021 году – 43,10 тыс. куб.м.</w:t>
      </w:r>
    </w:p>
    <w:p w:rsidR="00E83C73" w:rsidRDefault="00E83C73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«Сельское, лесное хозяйство, охота, рыболовство и рыбоводство» ( 2,7 % от общего объема инвестиций) - 98665, 0 тыс. рублей  (2020 год – 87329, 0 тыс. рублей)  105,2 %   в сопоставимых ценах . Увеличение инвестиций связано с увеличением объемов лесозаготовок по АО «Краслесинвест».</w:t>
      </w:r>
    </w:p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Богучанского района реализуются следующие инвестиционные проекты: </w:t>
      </w:r>
    </w:p>
    <w:p w:rsidR="00E83C73" w:rsidRDefault="00E83C73">
      <w:pPr>
        <w:widowControl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Биотехнологический комплекс по глубокой переработке древесины в Богучанском районе Красноярского края – АО «Краслесинвест», ООО «Тайга-Богучаны». Период реализации 2007-2028 годы. Общий объем инвестиций 150801,0 млн. рублей . Правительством Российской Федерации в декабре 2021 года в проект внесены изменения, которые определили сырьевую базу для будущего БТК. Расчетная лесосека Краслесинвеста увеличена до 6,75 млн. кубометров в год. Инвестиционный проект «Биотехнологический комплекс по глубокой переработке древесины в Богучанском районе Красноярского края» включает в себя строительство комбината по производству целлюлозы сульфатной варки мощностью 1 000,000 тыс. тонн, производству пиломатериала 368,750 тыс. куб. м, древесных топливных гранул (пеллет) 102,371 тыс. тонн. </w:t>
      </w:r>
    </w:p>
    <w:p w:rsidR="00E83C73" w:rsidRDefault="00E83C73">
      <w:pPr>
        <w:widowControl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реализации инвестиционного проекта.</w:t>
      </w:r>
    </w:p>
    <w:p w:rsidR="00E83C73" w:rsidRDefault="00E83C73">
      <w:pPr>
        <w:widowControl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реализации проекта (начало работ по инвестиционному проекту - окончание освоения капиталовложений и выход на производственную мощность) I кв. 2007 г. – I кв. 2028 г.</w:t>
      </w:r>
    </w:p>
    <w:p w:rsidR="00E83C73" w:rsidRDefault="00E83C73">
      <w:pPr>
        <w:widowControl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период (начало и окончание финансирования) проекта I кв. 2007 г. – IV кв. 2025 г., в том числе период освоения капитальных вложений (начало и окончание капиталовложений по проекту) I кв. 2007 г. – I кв. 2025 г.</w:t>
      </w:r>
    </w:p>
    <w:p w:rsidR="00E83C73" w:rsidRDefault="00E83C73">
      <w:pPr>
        <w:widowControl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Эксплуатационный период (начало производственной деятельности – выход на полную производственную мощность):</w:t>
      </w:r>
    </w:p>
    <w:p w:rsidR="00E83C73" w:rsidRDefault="00E83C73">
      <w:pPr>
        <w:widowControl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лесопильное производство III кв. 2016 г. – I кв. 2024 г.;</w:t>
      </w:r>
    </w:p>
    <w:p w:rsidR="00E83C73" w:rsidRDefault="00E83C73">
      <w:pPr>
        <w:widowControl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древесных топливных гранул IV кв. 2019 г. – I кв. 2024 г.;</w:t>
      </w:r>
    </w:p>
    <w:p w:rsidR="00E83C73" w:rsidRDefault="00E83C73">
      <w:pPr>
        <w:widowControl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целлюлозное производство I кв. 2026 г. – I кв. 2028 г.;</w:t>
      </w:r>
    </w:p>
    <w:p w:rsidR="00E83C73" w:rsidRDefault="00E83C73">
      <w:pPr>
        <w:widowControl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лесохимическое производство I кв. 2026 г. – I кв. 2028 г.</w:t>
      </w:r>
    </w:p>
    <w:p w:rsidR="00E83C73" w:rsidRDefault="00E83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статус инвестиционного проекта.</w:t>
      </w:r>
    </w:p>
    <w:p w:rsidR="00E83C73" w:rsidRDefault="00E83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части лесопильного производства и производства древесных топливных гранул (пеллет) выполнены: инженерно-геологические и инженерно-геодезические изыскания; проектно-сметная и разрешительная документация (стадия П), экспертиза проектной документации и результатов инженерных изысканий (стадия П), проектно-сметная и разрешительная документация (стадия РД); строительно-монтажные работы; приобретены основное технологическое оборудование, транспорт и техника.</w:t>
      </w:r>
    </w:p>
    <w:p w:rsidR="00E83C73" w:rsidRDefault="00E83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части целлюлозного производства подготовлены технико-коммерческие предложения и выполнены предпроектные работы целлюлозы сульфатной хвойной беленой.</w:t>
      </w:r>
    </w:p>
    <w:p w:rsidR="00E83C73" w:rsidRDefault="00E83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целом, введены в эксплуатацию лесопильное оборудование и оборудование по производству древесных топливных гранул (пеллет), организованы работы по подготовке проектно-сметной и разрешительной документации (стадия П) целлюлозного производства.</w:t>
      </w:r>
    </w:p>
    <w:p w:rsidR="00E83C73" w:rsidRDefault="00E83C7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Производство алюминия  - ЗАО Богучанский алюминиевый завод ( ЗАО «БоАЗ»)  на 2022 год объем инвестиций 938,849 млн. руб. в прогнозном периоде планируется запуск 3 и 4-го пускового комплекса.</w:t>
      </w:r>
    </w:p>
    <w:p w:rsidR="00E83C73" w:rsidRDefault="00E83C73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3) Производство глубокой и безотходной переработки круглого леса – ООО «Норд Хольц» объем инвестиций 728,545 мил. руб. период реализации 2019-2024 годы.  Проект реализуется, строительно-монтажные работы завершены на 85 %, ведется монтаж и пусконаладочные работы по оборудованию.</w:t>
      </w:r>
    </w:p>
    <w:p w:rsidR="00E83C73" w:rsidRDefault="00E83C73">
      <w:pPr>
        <w:rPr>
          <w:sz w:val="28"/>
          <w:szCs w:val="28"/>
        </w:rPr>
      </w:pPr>
      <w:r>
        <w:rPr>
          <w:sz w:val="28"/>
          <w:szCs w:val="28"/>
        </w:rPr>
        <w:t xml:space="preserve"> 4) Строительство лесоперерабатывающего производства - ООО «Атлант»  объем инвестиций 5092,00 мил. руб. Период реализации 2021-2027 годы.</w:t>
      </w:r>
    </w:p>
    <w:p w:rsidR="00E83C73" w:rsidRDefault="00E83C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Проект реализуется  выполнены следующие виды работ:</w:t>
      </w:r>
    </w:p>
    <w:p w:rsidR="00E83C73" w:rsidRDefault="00E83C73">
      <w:pPr>
        <w:rPr>
          <w:sz w:val="28"/>
          <w:szCs w:val="28"/>
        </w:rPr>
      </w:pPr>
      <w:r>
        <w:rPr>
          <w:sz w:val="28"/>
          <w:szCs w:val="28"/>
        </w:rPr>
        <w:t>- подобрано технологическое оборудование;</w:t>
      </w:r>
    </w:p>
    <w:p w:rsidR="00E83C73" w:rsidRDefault="00E83C7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проведены переговоры с потенциальными поставщиками оборудования и траспортных средств;</w:t>
      </w:r>
    </w:p>
    <w:p w:rsidR="00E83C73" w:rsidRDefault="00E83C73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определены источники финансирования оборудования;</w:t>
      </w:r>
    </w:p>
    <w:p w:rsidR="00E83C73" w:rsidRDefault="00E83C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разработан бизнес-план реализации инвестиционного проекта;</w:t>
      </w:r>
    </w:p>
    <w:p w:rsidR="00E83C73" w:rsidRDefault="00E83C7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подобрана производственная площадка для создания лесоперерабатывающих мощностей в Богучанском районе.</w:t>
      </w:r>
    </w:p>
    <w:p w:rsidR="00E83C73" w:rsidRDefault="00E83C73">
      <w:pPr>
        <w:ind w:firstLine="720"/>
        <w:jc w:val="both"/>
        <w:rPr>
          <w:sz w:val="28"/>
          <w:szCs w:val="28"/>
        </w:rPr>
      </w:pPr>
    </w:p>
    <w:p w:rsidR="00E83C73" w:rsidRDefault="00E83C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Инвестиционные проекты ООО «Атлант», ООО «Норд-Хольц», КФХ ИП Лапа Ю.Н. (развитие молочного производства) в 2022 году стали участниками проекта «Развитие Ангаро-Енисейского экономического макрорайона» </w:t>
      </w:r>
      <w:r>
        <w:rPr>
          <w:sz w:val="28"/>
          <w:szCs w:val="28"/>
        </w:rPr>
        <w:tab/>
      </w:r>
    </w:p>
    <w:p w:rsidR="00E83C73" w:rsidRDefault="00E83C73">
      <w:pPr>
        <w:ind w:firstLine="720"/>
        <w:jc w:val="both"/>
        <w:rPr>
          <w:sz w:val="28"/>
          <w:szCs w:val="28"/>
        </w:rPr>
      </w:pPr>
    </w:p>
    <w:p w:rsidR="00E83C73" w:rsidRDefault="00E83C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инвестиции в основной капитал за счет бюджетных средств в 2021 году составил 118523,0  тыс. рублей,  в 2022 году показатель увеличится до     378 554,50 тыс. руб.  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краевым законом </w:t>
      </w:r>
      <w:r>
        <w:rPr>
          <w:sz w:val="28"/>
          <w:szCs w:val="28"/>
          <w:highlight w:val="white"/>
        </w:rPr>
        <w:t>от 9 декабря 2021 г. № 2-255</w:t>
      </w:r>
      <w:r>
        <w:rPr>
          <w:sz w:val="28"/>
          <w:szCs w:val="28"/>
        </w:rPr>
        <w:t xml:space="preserve"> в 2022 году и в плановом периоде 2023-2024 годов предусмотрено финансирование из краевого бюджета следующих объектов: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здания Богучанского поисково-спасательного отряда краевого государственного казенного учреждения «Спасатель», расположенного по адресу: Красноярский край, с. Богучаны, ул. Октябрьская, 165 (2022 год – 31 000,0 тыс. рублей, 2023 год – 40 000,0 тыс. рублей, 2024 год – 17 300,0 тыс. рублей);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-пристройка к зданию МОУ «Осиновская СОШ № 4» Богучанского района  (2022 год - 188131,3 тыс. рублей)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врачебной амбулатории в п. Пинчуга Богучанского района (КГБУЗ «Богучанская РБ») (2022 год – 87208,6 тыс. рублей, в том числе: 55 223,50 тыс. рублей за счет средств краевого бюджета, 31985,10 тыс. рублей за счет федерального бюджета);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 Строительство врачебной амбулатории в п. Октябрьский Богучанского района (КГБУЗ «Богучанская РБ»)  на 2022 год 39317,3 тыс. руб. краевой бюджет.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Строительство врачебной амбулатории в п. Хребтовый Богучанского района (КГБУЗ «Богучанская РБ»)</w:t>
      </w:r>
      <w:r>
        <w:rPr>
          <w:sz w:val="28"/>
          <w:szCs w:val="28"/>
        </w:rPr>
        <w:t xml:space="preserve"> (2024 год – 55 000,0 тыс. рублей, в том числе: 23 014,90 тыс. рублей за счет средств краевого бюджета, 31985,1 тыс. рублей за счет федерального бюджета)</w:t>
      </w:r>
      <w:r>
        <w:rPr>
          <w:sz w:val="28"/>
          <w:szCs w:val="28"/>
          <w:highlight w:val="white"/>
        </w:rPr>
        <w:t xml:space="preserve"> 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Физкультурно-оздоровительный комплекс в с. Богучаны Богучанского района (2023 год- 129446,2 тыс. рублей; 2024 год- 190568,5 тыс. рублей)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Канализационные сети в п. Таежный Богучанского района (2022 год – 5500,0 тыс. рублей)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 полигон твердых бытовых отходов в с. Богучаны Богучанского района (2022год -23277,30 тыс. рублей ;2023 год - 69831,8 тыс. рублей)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Строительство накопительного резервуара по ул. Крайняя  с подключением к водозаборным сооружениям по ул. Строителей в с. Богучаны Богучанского района (2022 год – 4120,00 тыс. рублей)</w:t>
      </w:r>
    </w:p>
    <w:p w:rsidR="00E83C73" w:rsidRDefault="00E83C73">
      <w:pPr>
        <w:jc w:val="both"/>
        <w:rPr>
          <w:sz w:val="28"/>
          <w:szCs w:val="28"/>
        </w:rPr>
      </w:pPr>
    </w:p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инвестиций в основной капитал (за исключением бюджетных средств) в расчете на 1 жителя  в 2021 году   составил 78899,38   рублей, в 2020 году  – 96536,84  рублей (уменьшился  на 18,27 %), по оценке в 2022 году  данный показатель составит  75 291,26 рублей, в прогнозном периоде  в 2023 году – 84 385,67 рублей, в 2024 году – 90 147,61  рублей.  Расчет объема инвестиций в основной капитал (за исключением бюджетных средств) в расчете на 1 жителя в прогнозном периоде см. в Таблице.</w:t>
      </w:r>
    </w:p>
    <w:p w:rsidR="00E83C73" w:rsidRDefault="00E83C7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2709"/>
        <w:gridCol w:w="708"/>
        <w:gridCol w:w="1134"/>
        <w:gridCol w:w="1134"/>
        <w:gridCol w:w="1134"/>
        <w:gridCol w:w="1560"/>
        <w:gridCol w:w="1417"/>
      </w:tblGrid>
      <w:tr w:rsidR="00E83C73" w:rsidTr="00DD31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96" w:type="dxa"/>
            <w:gridSpan w:val="7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vAlign w:val="center"/>
          </w:tcPr>
          <w:p w:rsidR="00E83C73" w:rsidRPr="00DD31EC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31EC">
              <w:rPr>
                <w:b/>
                <w:bCs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 в расчете на 1 жителя (по крупным и средним организациям)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7" w:type="dxa"/>
            <w:gridSpan w:val="2"/>
            <w:vMerge w:val="restart"/>
            <w:tcBorders>
              <w:top w:val="single" w:sz="4" w:space="0" w:color="6D6D6D"/>
              <w:left w:val="single" w:sz="4" w:space="0" w:color="6D6D6D"/>
              <w:bottom w:val="nil"/>
              <w:right w:val="single" w:sz="4" w:space="0" w:color="6D6D6D"/>
            </w:tcBorders>
          </w:tcPr>
          <w:p w:rsidR="00E83C73" w:rsidRPr="00DD31EC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Наименование показателя и единицы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</w:tcPr>
          <w:p w:rsidR="00E83C73" w:rsidRPr="00DD31EC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Значения показателя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7" w:type="dxa"/>
            <w:gridSpan w:val="2"/>
            <w:vMerge/>
            <w:tcBorders>
              <w:top w:val="single" w:sz="4" w:space="0" w:color="6D6D6D"/>
              <w:left w:val="single" w:sz="4" w:space="0" w:color="6D6D6D"/>
              <w:bottom w:val="nil"/>
              <w:right w:val="single" w:sz="4" w:space="0" w:color="6D6D6D"/>
            </w:tcBorders>
            <w:vAlign w:val="center"/>
          </w:tcPr>
          <w:p w:rsidR="00E83C73" w:rsidRPr="00DD31EC" w:rsidRDefault="00E83C7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</w:tcPr>
          <w:p w:rsidR="00E83C73" w:rsidRPr="00DD31EC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2020 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</w:tcPr>
          <w:p w:rsidR="00E83C73" w:rsidRPr="00DD31EC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2021 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</w:tcPr>
          <w:p w:rsidR="00E83C73" w:rsidRPr="00DD31EC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2022 оценка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</w:tcPr>
          <w:p w:rsidR="00DD31EC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 xml:space="preserve">2023 </w:t>
            </w:r>
          </w:p>
          <w:p w:rsidR="00E83C73" w:rsidRPr="00DD31EC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</w:tcPr>
          <w:p w:rsidR="00E83C73" w:rsidRPr="00DD31EC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2024 прогноз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09" w:type="dxa"/>
            <w:tcBorders>
              <w:top w:val="single" w:sz="4" w:space="0" w:color="6D6D6D"/>
              <w:left w:val="nil"/>
              <w:bottom w:val="single" w:sz="4" w:space="0" w:color="6D6D6D"/>
              <w:right w:val="nil"/>
            </w:tcBorders>
          </w:tcPr>
          <w:p w:rsidR="00E83C73" w:rsidRPr="00DD31EC" w:rsidRDefault="00E83C73">
            <w:pPr>
              <w:widowControl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4 456 665,00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3 658 738,00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3 724 498,10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3 948 027,98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4 185 101,06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09" w:type="dxa"/>
            <w:tcBorders>
              <w:top w:val="nil"/>
              <w:left w:val="nil"/>
              <w:bottom w:val="single" w:sz="4" w:space="0" w:color="6D6D6D"/>
              <w:right w:val="nil"/>
            </w:tcBorders>
            <w:shd w:val="clear" w:color="000000" w:fill="FFFFF0"/>
          </w:tcPr>
          <w:p w:rsidR="00E83C73" w:rsidRPr="00DD31EC" w:rsidRDefault="00E83C73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DD31EC">
              <w:rPr>
                <w:i/>
                <w:iCs/>
                <w:color w:val="000000"/>
                <w:sz w:val="22"/>
                <w:szCs w:val="22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106,00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09" w:type="dxa"/>
            <w:tcBorders>
              <w:top w:val="nil"/>
              <w:left w:val="nil"/>
              <w:bottom w:val="single" w:sz="4" w:space="0" w:color="6D6D6D"/>
              <w:right w:val="nil"/>
            </w:tcBorders>
            <w:shd w:val="clear" w:color="000000" w:fill="FFFFF0"/>
          </w:tcPr>
          <w:p w:rsidR="00E83C73" w:rsidRPr="00DD31EC" w:rsidRDefault="00E83C73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DD31EC">
              <w:rPr>
                <w:i/>
                <w:iCs/>
                <w:color w:val="000000"/>
                <w:sz w:val="22"/>
                <w:szCs w:val="22"/>
              </w:rPr>
              <w:t>Темп роста в сопоставимых ценах, к соответствующему периоду предыдущего года, 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101,15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09" w:type="dxa"/>
            <w:tcBorders>
              <w:top w:val="single" w:sz="4" w:space="0" w:color="6D6D6D"/>
              <w:left w:val="nil"/>
              <w:bottom w:val="single" w:sz="4" w:space="0" w:color="6D6D6D"/>
              <w:right w:val="nil"/>
            </w:tcBorders>
          </w:tcPr>
          <w:p w:rsidR="00E83C73" w:rsidRPr="00DD31EC" w:rsidRDefault="00E83C73">
            <w:pPr>
              <w:widowControl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378 554,50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262 868,50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709" w:type="dxa"/>
            <w:tcBorders>
              <w:top w:val="nil"/>
              <w:left w:val="nil"/>
              <w:bottom w:val="single" w:sz="4" w:space="0" w:color="6D6D6D"/>
              <w:right w:val="nil"/>
            </w:tcBorders>
          </w:tcPr>
          <w:p w:rsidR="00E83C73" w:rsidRPr="00DD31EC" w:rsidRDefault="00E83C73">
            <w:pPr>
              <w:widowControl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3. Объем инвестиций без бюджетных средств, тыс. руб.</w:t>
            </w:r>
            <w:r w:rsidRPr="00DD31EC">
              <w:rPr>
                <w:color w:val="000000"/>
                <w:sz w:val="22"/>
                <w:szCs w:val="22"/>
              </w:rPr>
              <w:br/>
              <w:t>(стр. 1 – стр. 2)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4 368 678,00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3 540 215,00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3 345 943,60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3 708 749,98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3 922 232,56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single" w:sz="4" w:space="0" w:color="6D6D6D"/>
              <w:right w:val="nil"/>
            </w:tcBorders>
          </w:tcPr>
          <w:p w:rsidR="00E83C73" w:rsidRPr="00DD31EC" w:rsidRDefault="00E83C73">
            <w:pPr>
              <w:widowControl/>
              <w:rPr>
                <w:color w:val="000000"/>
                <w:sz w:val="22"/>
                <w:szCs w:val="22"/>
              </w:rPr>
            </w:pPr>
            <w:r w:rsidRPr="00DD31EC">
              <w:rPr>
                <w:color w:val="000000"/>
                <w:sz w:val="22"/>
                <w:szCs w:val="22"/>
              </w:rPr>
              <w:t>4. Среднегодовая численность населения, чел.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43 509,00</w:t>
            </w:r>
          </w:p>
        </w:tc>
      </w:tr>
      <w:tr w:rsidR="00E83C73" w:rsidTr="00DD31E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09" w:type="dxa"/>
            <w:tcBorders>
              <w:top w:val="nil"/>
              <w:left w:val="nil"/>
              <w:bottom w:val="single" w:sz="4" w:space="0" w:color="6D6D6D"/>
              <w:right w:val="nil"/>
            </w:tcBorders>
            <w:shd w:val="clear" w:color="000000" w:fill="FFFFF0"/>
          </w:tcPr>
          <w:p w:rsidR="00E83C73" w:rsidRPr="00DD31EC" w:rsidRDefault="00E83C73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DD31EC">
              <w:rPr>
                <w:i/>
                <w:iCs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0"/>
            <w:vAlign w:val="center"/>
          </w:tcPr>
          <w:p w:rsidR="00E83C73" w:rsidRDefault="00E83C73" w:rsidP="00DD31EC">
            <w:pPr>
              <w:widowControl/>
              <w:jc w:val="center"/>
              <w:rPr>
                <w:i/>
                <w:iCs/>
                <w:color w:val="000000"/>
                <w:sz w:val="17"/>
                <w:szCs w:val="17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96 536,84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78 899,38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75 291,26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84 385,67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 w:rsidP="00DD31E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90 147,61</w:t>
            </w:r>
          </w:p>
        </w:tc>
      </w:tr>
    </w:tbl>
    <w:p w:rsidR="00E83C73" w:rsidRDefault="00E83C73">
      <w:pPr>
        <w:jc w:val="both"/>
        <w:rPr>
          <w:rFonts w:ascii="Arial CYR" w:hAnsi="Arial CYR" w:cs="Arial CYR"/>
          <w:sz w:val="20"/>
          <w:szCs w:val="20"/>
          <w:highlight w:val="cyan"/>
        </w:rPr>
      </w:pPr>
    </w:p>
    <w:p w:rsidR="00E83C73" w:rsidRDefault="00E83C73"/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lastRenderedPageBreak/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E83C73" w:rsidRDefault="00E83C73" w:rsidP="000A22B0">
      <w:pPr>
        <w:jc w:val="both"/>
      </w:pPr>
    </w:p>
    <w:p w:rsidR="00E83C73" w:rsidRDefault="00E83C73">
      <w:pPr>
        <w:ind w:left="60" w:firstLine="660"/>
        <w:jc w:val="both"/>
        <w:rPr>
          <w:sz w:val="28"/>
          <w:szCs w:val="28"/>
        </w:rPr>
      </w:pPr>
      <w:r>
        <w:rPr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 составляет 0,03 процента. Площадь земельных участков, являющихся объектами налогообложения земельным налогом в 2021 году составила 1451,65 га. Общая площадь территории Богучанского района составляет 5398506,00 га.</w:t>
      </w:r>
    </w:p>
    <w:p w:rsidR="00E83C73" w:rsidRDefault="00E83C73">
      <w:pPr>
        <w:rPr>
          <w:rFonts w:ascii="Arial CYR" w:hAnsi="Arial CYR" w:cs="Arial CYR"/>
          <w:sz w:val="16"/>
          <w:szCs w:val="16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5. Доля прибыльных сельскохозяйственных организаций в общем их числе</w:t>
      </w:r>
    </w:p>
    <w:p w:rsidR="00E83C73" w:rsidRDefault="00E83C73"/>
    <w:p w:rsidR="00E83C73" w:rsidRDefault="00E83C73">
      <w:pPr>
        <w:ind w:left="8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Богучанского района  отсутствуют сельскохозяйственные организации.</w:t>
      </w:r>
    </w:p>
    <w:p w:rsidR="00E83C73" w:rsidRDefault="00E83C73">
      <w:pPr>
        <w:rPr>
          <w:rFonts w:ascii="MS Sans Serif" w:hAnsi="MS Sans Serif" w:cs="MS Sans Serif"/>
          <w:sz w:val="16"/>
          <w:szCs w:val="16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E83C73" w:rsidRDefault="00E83C73"/>
    <w:p w:rsidR="00E83C73" w:rsidRDefault="00E83C73">
      <w:pPr>
        <w:widowControl/>
        <w:shd w:val="clear" w:color="auto" w:fill="FFFFFF"/>
        <w:spacing w:before="100" w:after="100"/>
        <w:ind w:firstLine="709"/>
        <w:jc w:val="both"/>
        <w:rPr>
          <w:rFonts w:ascii="Arial CYR" w:hAnsi="Arial CYR" w:cs="Arial CYR"/>
          <w:sz w:val="23"/>
          <w:szCs w:val="23"/>
        </w:rPr>
      </w:pPr>
      <w:r>
        <w:rPr>
          <w:sz w:val="28"/>
          <w:szCs w:val="28"/>
          <w:highlight w:val="white"/>
        </w:rPr>
        <w:t>В районе протяженность автомобильных дорог составляет 1060,01 км, в том числе: </w:t>
      </w:r>
      <w:r>
        <w:rPr>
          <w:sz w:val="28"/>
          <w:szCs w:val="28"/>
        </w:rPr>
        <w:t>регионального значения 650,41 км, дорог местного значения 411,2 км, в том числе протяженность улично-дорожной сети поселений 416,7 км.</w:t>
      </w:r>
    </w:p>
    <w:p w:rsidR="00E83C73" w:rsidRDefault="00E83C73">
      <w:pPr>
        <w:widowControl/>
        <w:shd w:val="clear" w:color="auto" w:fill="FFFFFF"/>
        <w:spacing w:before="100" w:after="100"/>
        <w:ind w:firstLine="709"/>
        <w:jc w:val="both"/>
        <w:rPr>
          <w:rFonts w:ascii="Arial CYR" w:hAnsi="Arial CYR" w:cs="Arial CYR"/>
          <w:sz w:val="23"/>
          <w:szCs w:val="23"/>
        </w:rPr>
      </w:pPr>
      <w:r>
        <w:rPr>
          <w:sz w:val="28"/>
          <w:szCs w:val="28"/>
        </w:rPr>
        <w:t>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дорог, общего пользования местного значения в 2021 году составила 30,50 %, расчет показателя производился в соответствии с формой №3-ДГ (МО), в прогнозном периоде 2022-2024 годы  данный показатель составит 27,10 %. В 2021 году по сравнению с 2020 годом уменьшение  показателя протяженности автомобильных дорог не отвечающим нормативным требованиям произошло в связи с проведением муниципальными образованиями Богучанского района работ по ремонту автомобильных дорог.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E83C73" w:rsidRDefault="00E83C73" w:rsidP="000A22B0">
      <w:pPr>
        <w:jc w:val="both"/>
      </w:pPr>
    </w:p>
    <w:p w:rsidR="00E83C73" w:rsidRDefault="00E83C73">
      <w:pPr>
        <w:shd w:val="clear" w:color="auto" w:fill="FFFFFF"/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 имеются все условия для работы автомобильного,  железнодорожного    транспорта. Основной объем грузов осуществляется по железной дороге до ст. Карабула и   автомобильным транспортом по дороге «Канск – Абан – Богучаны». </w:t>
      </w:r>
    </w:p>
    <w:p w:rsidR="00E83C73" w:rsidRDefault="00E83C73">
      <w:pPr>
        <w:ind w:left="100" w:firstLine="740"/>
        <w:jc w:val="both"/>
        <w:rPr>
          <w:sz w:val="28"/>
          <w:szCs w:val="28"/>
        </w:rPr>
      </w:pPr>
      <w:r>
        <w:rPr>
          <w:sz w:val="28"/>
          <w:szCs w:val="28"/>
        </w:rPr>
        <w:t>Доля населения, проживающего в населенных пунктах, не имеющих регулярного автобусного  и (или) железнодорожного сообщения с административным центром городского округа (муниципального района), составляет 0,1 процента. С 2010 года данный показатель не меняется.</w:t>
      </w:r>
    </w:p>
    <w:p w:rsidR="00E83C73" w:rsidRDefault="00E83C73">
      <w:pPr>
        <w:ind w:left="10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имеют регулярного автобусного  и (или) железнодорожного сообщения с административным центром муниципального района в отчетном году следующие населенные пункты: </w:t>
      </w:r>
    </w:p>
    <w:p w:rsidR="00E83C73" w:rsidRDefault="00E83C73">
      <w:pPr>
        <w:ind w:left="100" w:firstLine="740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17"/>
        <w:gridCol w:w="3119"/>
        <w:gridCol w:w="5635"/>
      </w:tblGrid>
      <w:tr w:rsidR="00E83C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3" w:rsidRDefault="00E83C7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3" w:rsidRDefault="00E83C7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73" w:rsidRDefault="00E83C7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численность населения, человек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3" w:rsidRDefault="00E83C7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3" w:rsidRDefault="00E83C7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Прилуки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73" w:rsidRDefault="00E83C7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3" w:rsidRDefault="00E83C7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3" w:rsidRDefault="00E83C7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Заимка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73" w:rsidRDefault="00E83C7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3" w:rsidRDefault="00E83C7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3" w:rsidRDefault="00E83C7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C73" w:rsidRDefault="00E83C7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E83C73" w:rsidRDefault="00E83C73">
      <w:pPr>
        <w:rPr>
          <w:rFonts w:ascii="Arial CYR" w:hAnsi="Arial CYR" w:cs="Arial CYR"/>
          <w:sz w:val="16"/>
          <w:szCs w:val="16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8. Среднемесячная номинальная начисленная заработная плата работников:</w:t>
      </w:r>
    </w:p>
    <w:p w:rsidR="00E83C73" w:rsidRDefault="00E83C73"/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8.1. крупных и средних предприятий и некоммерческих организаций;</w:t>
      </w:r>
    </w:p>
    <w:p w:rsidR="00E83C73" w:rsidRDefault="00E83C73"/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 муниципального района в 2020 году   составила   51303,47  рублей, в 2021 году – 56286,20  рублей  и  увеличилась  по сравнению  с 2020  годом </w:t>
      </w:r>
      <w:r>
        <w:rPr>
          <w:sz w:val="28"/>
          <w:szCs w:val="28"/>
        </w:rPr>
        <w:t xml:space="preserve">на  9,71 %, за счет проведения мероприятий по </w:t>
      </w:r>
      <w:r>
        <w:rPr>
          <w:sz w:val="28"/>
          <w:szCs w:val="28"/>
          <w:highlight w:val="white"/>
        </w:rPr>
        <w:t>повышению оплаты труда , выполнения Указов Президента РФ и поручений Губернатора по отдельным категориям работников,  и повышение МРОТ</w:t>
      </w:r>
      <w:r>
        <w:rPr>
          <w:sz w:val="28"/>
          <w:szCs w:val="28"/>
        </w:rPr>
        <w:t xml:space="preserve">.  В 2022 </w:t>
      </w:r>
      <w:r>
        <w:rPr>
          <w:sz w:val="28"/>
          <w:szCs w:val="28"/>
          <w:highlight w:val="white"/>
        </w:rPr>
        <w:t xml:space="preserve">году планируется увеличение среднемесячной номинальной начисленной заработной платы работников крупных и средних предприятий и некоммерческих организаций   на 6,9 %,  в прогнозном периоде увеличение среднемесячной номинальной начисленной заработной платы работников крупных и средних предприятий и некоммерческих организаций   планируется:   в 2023 году – на 6,6 %,  в 2024 году - на  6,5 %. </w:t>
      </w:r>
    </w:p>
    <w:p w:rsidR="00E83C73" w:rsidRDefault="00E83C73">
      <w:pPr>
        <w:widowControl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территории  района продолжает действовать комиссия, утвержденная постановлением Главы  Богучанского района от 01.10.2004 № 908-п «О создании районной межведомственной комиссии по обеспечению прав граждан на вознаграждение за труд», на которой заслушиваются работодатели,  выплачивающие заработную плату ниже МРОТ, ниже прожиточного минимума трудоспособного населения. </w:t>
      </w:r>
    </w:p>
    <w:p w:rsidR="00E83C73" w:rsidRDefault="00E83C73">
      <w:pPr>
        <w:widowControl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 2021 год проведено 7 заседаний  комиссии,  было приглашено  79  работодателей,  выплачивающих  заработную плату ниже  МРОТ.   Заслушано  27  работодателей. Из них  6  повысили заработную плату  до уровня МРОТ, 1 работодатель повысил заработную плату выше уровня МРОТ, 2 работодателей предоставили пояснения о работе  сотрудников  на  0,5 ставки. </w:t>
      </w:r>
    </w:p>
    <w:p w:rsidR="00E83C73" w:rsidRDefault="00E83C73">
      <w:pPr>
        <w:widowControl/>
        <w:ind w:firstLine="540"/>
        <w:jc w:val="both"/>
        <w:rPr>
          <w:sz w:val="28"/>
          <w:szCs w:val="28"/>
          <w:highlight w:val="white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8.2. муниципальных дошкольных образовательных учреждений;</w:t>
      </w:r>
    </w:p>
    <w:p w:rsidR="00E83C73" w:rsidRDefault="00E83C73"/>
    <w:p w:rsidR="00E83C73" w:rsidRDefault="00E83C73">
      <w:pPr>
        <w:ind w:left="140" w:firstLine="7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Средняя номинальная начисленная заработная плата муниципальных дошкольных образовательных учреждений в 2020 году  составила 29819,61 рублей, в 2021 году 39150,69 рублей, рост показателя составил 31,2%. Увеличение показателя произошло за счет повышения стимулирующего фонда педагогическим работникам.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 2023 - 2024 годах средняя номинальная начисленная заработная плата муниципальных дошкольных образовательных учреждений составит 39749,00 рублей.</w:t>
      </w:r>
    </w:p>
    <w:p w:rsidR="00E83C73" w:rsidRDefault="00E83C73">
      <w:pPr>
        <w:ind w:left="140" w:firstLine="700"/>
        <w:jc w:val="both"/>
        <w:rPr>
          <w:sz w:val="28"/>
          <w:szCs w:val="28"/>
          <w:highlight w:val="white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8.3. муниципальных общеобразовательных учреждений;</w:t>
      </w:r>
    </w:p>
    <w:p w:rsidR="00E83C73" w:rsidRDefault="00E83C73"/>
    <w:p w:rsidR="00E83C73" w:rsidRDefault="00E83C73">
      <w:pPr>
        <w:ind w:left="20" w:firstLine="80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Средняя номинальная начисленная заработная плата работников муниципальных общеобразовательных учреждений  составила  за 2020 год 38423,60  рублей, в 2021 году – 45557,93 рублей, что выше, чем в 2020 году на </w:t>
      </w:r>
      <w:r>
        <w:rPr>
          <w:sz w:val="28"/>
          <w:szCs w:val="28"/>
        </w:rPr>
        <w:t xml:space="preserve">18,5 </w:t>
      </w:r>
      <w:r>
        <w:rPr>
          <w:sz w:val="28"/>
          <w:szCs w:val="28"/>
          <w:highlight w:val="white"/>
        </w:rPr>
        <w:t>%. Увеличение показателя произошло за счет повышения окладов педагогическим работникам и увеличения размера минимальной заработной платы.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В  2023 - 2024 годах  заработная плата работников муниципальных </w:t>
      </w:r>
      <w:r>
        <w:rPr>
          <w:sz w:val="28"/>
          <w:szCs w:val="28"/>
        </w:rPr>
        <w:t>общеобразовательных учреждений составит 47350,00 рублей.</w:t>
      </w:r>
    </w:p>
    <w:p w:rsidR="00E83C73" w:rsidRDefault="00E83C73">
      <w:pPr>
        <w:ind w:left="20" w:firstLine="800"/>
        <w:jc w:val="both"/>
        <w:rPr>
          <w:sz w:val="28"/>
          <w:szCs w:val="28"/>
          <w:highlight w:val="cyan"/>
        </w:rPr>
      </w:pPr>
    </w:p>
    <w:p w:rsidR="00E83C73" w:rsidRDefault="00E83C73">
      <w:pPr>
        <w:ind w:left="20" w:firstLine="8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8.3.1 учителей муниципальных общеобразовательных </w:t>
      </w:r>
    </w:p>
    <w:p w:rsidR="00E83C73" w:rsidRDefault="00E83C73">
      <w:pPr>
        <w:ind w:left="20"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номинальная начисленная заработная плата  учителей муниципальных общеобразовательных учреждений за 2020 год составила 47649,54  рублей, в 2021 году – 61390,00 рублей,  что выше, чем в 2020 году  на 28,8 %,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 2023 - 2024 годах  заработная плата работников муниципальных общеобразовательных учреждений достигнет  61500,00 рублей.   </w:t>
      </w:r>
    </w:p>
    <w:p w:rsidR="00E83C73" w:rsidRDefault="00E83C73">
      <w:pPr>
        <w:rPr>
          <w:rFonts w:ascii="Arial CYR" w:hAnsi="Arial CYR" w:cs="Arial CYR"/>
          <w:sz w:val="16"/>
          <w:szCs w:val="16"/>
          <w:highlight w:val="cyan"/>
        </w:rPr>
      </w:pPr>
    </w:p>
    <w:p w:rsidR="00E83C73" w:rsidRDefault="00E83C73">
      <w:pPr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8.4. муниципальных учреждений культуры и искусства;</w:t>
      </w:r>
    </w:p>
    <w:p w:rsidR="00E83C73" w:rsidRDefault="00E83C73"/>
    <w:p w:rsidR="00E83C73" w:rsidRDefault="00E83C7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номинальная начисленная заработная  плата  муниципальных учреждений культуры и искусства  составила за  2020 год 36094,02 рублей, в 2021 году – 38 732,03, рост показателя 7,3 %. Увеличение показателя произошло за счет повышения оплаты труда работникам культуры по указу Президента. В 2023-2024 годах увеличение показателя на 3 % составит 40 281,31 рублей.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8.5. муниципальных учреждений физической культуры и спорта</w:t>
      </w:r>
    </w:p>
    <w:p w:rsidR="00E83C73" w:rsidRDefault="00E83C73"/>
    <w:p w:rsidR="00E83C73" w:rsidRDefault="00E83C7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номинальная начисленная заработная  плата  муниципальных учреждений физической культуры и спорта  составила  за  2020 год 27 472,00 рубля, за 2021 год  26 889,00 рублей, уменьшение показателя составило 2,1%. Уменьшение связано с большим количество б/листов работников. По оценке 2022 года начисленная заработная плата составит 30 849,75 рублей. Увеличение показателя в текущем году на 14,7% прогнозируется в связи с увеличением фонда оплаты труда в размере 10% с 1 января 2022 года и увеличением окладов на 8,6% с 1 июля 2022 года. Рост заработной платы в 2023-2024 годах планируется в размере 4%.</w:t>
      </w:r>
    </w:p>
    <w:p w:rsidR="00E83C73" w:rsidRDefault="00E83C73">
      <w:pPr>
        <w:rPr>
          <w:rFonts w:ascii="Arial CYR" w:hAnsi="Arial CYR" w:cs="Arial CYR"/>
          <w:sz w:val="16"/>
          <w:szCs w:val="16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II. Дошкольное образование</w:t>
      </w:r>
    </w:p>
    <w:p w:rsidR="00E83C73" w:rsidRDefault="00E83C73"/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лет, 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E83C73" w:rsidRDefault="00E83C73"/>
    <w:p w:rsidR="00E83C73" w:rsidRDefault="00E83C73">
      <w:pPr>
        <w:ind w:firstLine="709"/>
        <w:jc w:val="both"/>
        <w:rPr>
          <w:rFonts w:ascii="Arial CYR" w:hAnsi="Arial CYR" w:cs="Arial CYR"/>
          <w:sz w:val="16"/>
          <w:szCs w:val="16"/>
        </w:rPr>
      </w:pPr>
      <w:r>
        <w:rPr>
          <w:sz w:val="28"/>
          <w:szCs w:val="28"/>
          <w:highlight w:val="white"/>
        </w:rPr>
        <w:t>Доля детей в возрасте 1-6 лет, получающих дошкольную образовательную услугу и (или) услугу по их содержанию в муниципальных  образовательных учреждениях в общей численности детей в возрасте 1-6 лет за 2020 год составила 62,92 %, в 2021 году – 67,08 %. Показатель увеличился на 6,2%.  В  2022 году этот показатель составит  67,08 %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  <w:highlight w:val="white"/>
        </w:rPr>
        <w:t xml:space="preserve">прогнозном периоде 2023-2024 годы показатель не изменится и составит 67,08 %.  </w:t>
      </w:r>
    </w:p>
    <w:p w:rsidR="00E83C73" w:rsidRDefault="00E83C73">
      <w:pPr>
        <w:ind w:firstLine="709"/>
        <w:jc w:val="both"/>
        <w:rPr>
          <w:rFonts w:ascii="Arial CYR" w:hAnsi="Arial CYR" w:cs="Arial CYR"/>
          <w:sz w:val="16"/>
          <w:szCs w:val="16"/>
        </w:rPr>
      </w:pPr>
      <w:r>
        <w:rPr>
          <w:sz w:val="28"/>
          <w:szCs w:val="28"/>
          <w:highlight w:val="white"/>
        </w:rPr>
        <w:t xml:space="preserve">Доля детей в возрасте от 1 до 6 лет, стоящих на учете для определения в муниципальные дошкольные образовательные учреждения, в  общей  численности детей в возрасте от 1 до 6 лет, расчет показателя производился по актуальной очередности, в 2020 году </w:t>
      </w:r>
      <w:r>
        <w:rPr>
          <w:sz w:val="28"/>
          <w:szCs w:val="28"/>
        </w:rPr>
        <w:t>в связи с ограничительными мерами связанными с пандемией данный показатель увеличился и составил 4,14%</w:t>
      </w:r>
      <w:r>
        <w:rPr>
          <w:sz w:val="28"/>
          <w:szCs w:val="28"/>
          <w:highlight w:val="white"/>
        </w:rPr>
        <w:t xml:space="preserve">.  В 2021 году данный показатель составил 0%. По оценке 2022 года показатель составит 0 %. В прогнозном периоде 2023-2024 годы показатель  составит 0 %.  </w:t>
      </w:r>
    </w:p>
    <w:p w:rsidR="00E83C73" w:rsidRDefault="00E83C73">
      <w:pPr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E83C73" w:rsidRDefault="00E83C73" w:rsidP="000A22B0">
      <w:pPr>
        <w:jc w:val="both"/>
      </w:pP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муниципальных </w:t>
      </w:r>
      <w:r>
        <w:rPr>
          <w:color w:val="000000"/>
          <w:sz w:val="28"/>
          <w:szCs w:val="28"/>
        </w:rPr>
        <w:t xml:space="preserve">дошкольных образовательных </w:t>
      </w:r>
      <w:r>
        <w:rPr>
          <w:sz w:val="28"/>
          <w:szCs w:val="28"/>
        </w:rPr>
        <w:t>учреждений, здания которых находятся в аварийном состоянии или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требуют капитального ремонта, в общем количестве муниципальных учреждений культуры в 2021 году составила 40,00 % (12 единиц из 30 учреждений дошкольного образования),  по сравнению с 2020 годом показатель увеличился. К 2022 году данный показатель останется на уровне 2021 года.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Требуют капитального ремонта 12 зданий дошкольных образовательных учреждений, см. Таблица :</w:t>
      </w:r>
    </w:p>
    <w:p w:rsidR="00E83C73" w:rsidRDefault="00E83C73">
      <w:pPr>
        <w:widowControl/>
        <w:ind w:firstLine="709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894"/>
        <w:gridCol w:w="7338"/>
      </w:tblGrid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Богучаны МКДОУ д/с № 2 «Солнышко»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с. Богучаны МКДОУ д/с № 6 «Рябинушка»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Ярки МКДОУ д/с № 8 «Елочка»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Богучаны МКДОУ д/с № 7 «Буратино»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с. Богучаны МКДОУ д/с № 1 «Сибирячок»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п.Артюгино  МКДОУ д/с  «Солнышко»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Красногорьевский  МКДОУ д/с «Елочка»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Невонка МКДОУ д/с «Елочка»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Такучет  МКДОУ д/с № 1 «Березка»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Шиверский МКДОУ д/с «Чебурашка»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Новохайский  МКДОУ д/с № 1  «Солнышко»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C73" w:rsidRDefault="00E83C73">
            <w:pPr>
              <w:widowControl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 Чунояр МКДОУ д/сад «Буратино»</w:t>
            </w:r>
          </w:p>
        </w:tc>
      </w:tr>
    </w:tbl>
    <w:p w:rsidR="00E83C73" w:rsidRDefault="00E83C73">
      <w:pPr>
        <w:widowControl/>
        <w:ind w:firstLine="709"/>
        <w:jc w:val="both"/>
        <w:rPr>
          <w:sz w:val="28"/>
          <w:szCs w:val="28"/>
          <w:highlight w:val="yellow"/>
        </w:rPr>
      </w:pP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отсутствуют детские дошкольные учреждения, находящиеся в аварийном состоянии.   </w:t>
      </w:r>
    </w:p>
    <w:p w:rsidR="00E83C73" w:rsidRDefault="00E83C73">
      <w:pPr>
        <w:rPr>
          <w:rFonts w:ascii="Arial CYR" w:hAnsi="Arial CYR" w:cs="Arial CYR"/>
          <w:sz w:val="16"/>
          <w:szCs w:val="16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E83C73" w:rsidRDefault="00E83C73"/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E83C73" w:rsidRDefault="00E83C73"/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за 2021 год составила 6,36 %, за 2020 год – 0 %.  Показатель   в 2021 году  ухудшился.  </w:t>
      </w:r>
    </w:p>
    <w:p w:rsidR="00E83C73" w:rsidRDefault="00E83C73">
      <w:pPr>
        <w:rPr>
          <w:rFonts w:ascii="Arial CYR" w:hAnsi="Arial CYR" w:cs="Arial CYR"/>
          <w:sz w:val="16"/>
          <w:szCs w:val="16"/>
        </w:rPr>
      </w:pPr>
    </w:p>
    <w:p w:rsidR="00E83C73" w:rsidRDefault="00E83C73">
      <w:pPr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E83C73" w:rsidRDefault="00E83C73"/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2021 году  составил  </w:t>
      </w:r>
      <w:r>
        <w:rPr>
          <w:sz w:val="28"/>
          <w:szCs w:val="28"/>
          <w:highlight w:val="white"/>
        </w:rPr>
        <w:t xml:space="preserve">87,56 </w:t>
      </w:r>
      <w:r>
        <w:rPr>
          <w:sz w:val="28"/>
          <w:szCs w:val="28"/>
        </w:rPr>
        <w:t>%, по сравнению с 2020 годом данный показатель изменился в связи с уменьшением количества образовательных организаций (Закрыта МКОУ БОСОШ).</w:t>
      </w:r>
    </w:p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районе во всех общеобразовательных учреждениях ведется активная  работа по созданию комфортных и безопасных условий для пребывания детей. Ежегодно решаются вопросы, связанные с ремонтом отдельных конструкций зданий общеобразовательных учреждений. Общий объем финансирования на </w:t>
      </w:r>
      <w:r>
        <w:rPr>
          <w:sz w:val="28"/>
          <w:szCs w:val="28"/>
        </w:rPr>
        <w:t>реализацию мероприятий составил 22,17  млн. рублей.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В 23 школах района действуют медицинские пункты, что составляет     92,0 % от общего необходимого количества</w:t>
      </w:r>
      <w:r>
        <w:rPr>
          <w:sz w:val="28"/>
          <w:szCs w:val="28"/>
          <w:highlight w:val="white"/>
        </w:rPr>
        <w:t xml:space="preserve">.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2022года составляет 100 %. 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Во всех школах района  установлены софиты (обеспеченность 100 %), но существует проблема с системами электроснабжения,  часть школ требует капитального ремонта электрических сетей.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Подключены к Интернету 100 % общеобразовательных учреждений, но </w:t>
      </w:r>
      <w:r>
        <w:rPr>
          <w:sz w:val="28"/>
          <w:szCs w:val="28"/>
          <w:highlight w:val="white"/>
        </w:rPr>
        <w:t>средняя скорость передачи информации не соответствует требованиям образовательного процесса.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24-х общеобразовательных учреждениях организовано горячее питание (за счет федерального, краевого бюджета и родительской платы) соответствующее энергозатратам учащихся разных возрастных групп.  Приготовление блюд соответствует технологии и утвержденному Роспотребнадзором цикличному меню. Во всех школах соблюдаются все необходимые требования к качеству приготовления пищи, составлению меню, санитарному состоянию пищеблоков, хранению и реализации продуктов.  Все школьные столовые укомплектованы штатами. 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краю, в течение пяти последних лет  снизилось число школьников, имеющих хронические заболевания и состоящих на диспансерном учете по классу «Болезни органов пищеварения». </w:t>
      </w:r>
    </w:p>
    <w:p w:rsidR="00E83C73" w:rsidRDefault="00E83C7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Все образовательные учреждения подключены к системе противопожарного мониторинга Красноярского края.</w:t>
      </w:r>
    </w:p>
    <w:p w:rsidR="00E83C73" w:rsidRDefault="00E83C7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Для обеспечения пожарной безопасности и антитеррористической защищенности муниципальных образовательных учреждений выполнены следующие мероприятия:</w:t>
      </w:r>
    </w:p>
    <w:p w:rsidR="00E83C73" w:rsidRDefault="00E83C7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установлены дублирующие сигналы на пульт пожарной сигнализации;</w:t>
      </w:r>
    </w:p>
    <w:p w:rsidR="00E83C73" w:rsidRDefault="00E83C7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установлены системы наружного видеонаблюдения в 14-ти образовательных учреждениях;</w:t>
      </w:r>
    </w:p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</w:rPr>
        <w:t>установлены кнопки тревожного вызова (кроме МКОУ Белякинская школа и МКОУ Кежекская школа из-за отсутствия устойчивой мобильной связи;</w:t>
      </w:r>
    </w:p>
    <w:p w:rsidR="00E83C73" w:rsidRDefault="00E83C7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 все учреждения имеют паспорта антитеррористической защищенности и безопасности дорожного движения.</w:t>
      </w:r>
    </w:p>
    <w:p w:rsidR="00E83C73" w:rsidRDefault="00E83C73">
      <w:pPr>
        <w:ind w:firstLine="709"/>
        <w:jc w:val="both"/>
        <w:rPr>
          <w:rFonts w:ascii="Arial CYR" w:hAnsi="Arial CYR" w:cs="Arial CYR"/>
          <w:sz w:val="16"/>
          <w:szCs w:val="16"/>
        </w:rPr>
      </w:pPr>
      <w:r>
        <w:rPr>
          <w:sz w:val="28"/>
          <w:szCs w:val="28"/>
        </w:rPr>
        <w:t xml:space="preserve">Для организации подвоза детей действуют 9 школьных маршрутов, которые обслуживают 8 автобусов. Количество маршрутов уменьшилось из-за отсутствия детей из подвозимых деревень (д. Гольтявино, д. Бедоба). Все школьные автобусы допущены ГИБДД к перевозке детей, оснащены системой ГЛОНАСС и тахографами. 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E83C73" w:rsidRDefault="00E83C73" w:rsidP="000A22B0">
      <w:pPr>
        <w:jc w:val="both"/>
      </w:pPr>
    </w:p>
    <w:p w:rsidR="00E83C73" w:rsidRDefault="00E83C73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составила в 2020 году 12 % , в 2021 году 12,5% показатель увеличился на 0,5 %. Признана аварийной МКОУ Белякинская школа. В 2022 году  показатель останется на уровне 2021года .</w:t>
      </w:r>
    </w:p>
    <w:p w:rsidR="00E83C73" w:rsidRDefault="00E83C73">
      <w:pPr>
        <w:ind w:firstLine="709"/>
        <w:rPr>
          <w:rFonts w:ascii="Arial CYR" w:hAnsi="Arial CYR" w:cs="Arial CYR"/>
          <w:sz w:val="16"/>
          <w:szCs w:val="16"/>
        </w:rPr>
      </w:pPr>
    </w:p>
    <w:p w:rsidR="00E83C73" w:rsidRDefault="00E83C73">
      <w:pPr>
        <w:rPr>
          <w:rFonts w:ascii="Arial CYR" w:hAnsi="Arial CYR" w:cs="Arial CYR"/>
          <w:sz w:val="16"/>
          <w:szCs w:val="16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E83C73" w:rsidRDefault="00E83C73" w:rsidP="000A22B0">
      <w:pPr>
        <w:jc w:val="both"/>
      </w:pP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Доля детей первой и второй групп здоровья в общей численности, обучающихся в муниципальных общеобразовательных учреждениях составила в 2021 году 87,56 %, по сравнению  с 2020 годом уменьшился на 1,8 %, в 2022 году данный показатель составит 87,56 %.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E83C73" w:rsidRDefault="00E83C73"/>
    <w:p w:rsidR="00E83C73" w:rsidRDefault="00E83C73">
      <w:pPr>
        <w:widowControl/>
        <w:ind w:left="140" w:firstLine="86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 xml:space="preserve">В 2021 году в шести  образовательных учреждениях 7,86 % от общей численности  занимаются во 2-ую смену. </w:t>
      </w:r>
      <w:r>
        <w:rPr>
          <w:color w:val="000000"/>
          <w:sz w:val="28"/>
          <w:szCs w:val="28"/>
        </w:rPr>
        <w:t xml:space="preserve"> Во вторую смену занимается  420 учащихся.  Учреждения в которых есть вторая смена:</w:t>
      </w:r>
    </w:p>
    <w:p w:rsidR="00E83C73" w:rsidRDefault="00E83C73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МКОУ Богучанская школа № 1;</w:t>
      </w:r>
    </w:p>
    <w:p w:rsidR="00E83C73" w:rsidRDefault="00E83C73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МКОУ Богучанская школа № 2;</w:t>
      </w:r>
    </w:p>
    <w:p w:rsidR="00E83C73" w:rsidRDefault="00E83C73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МКОУ Богучанская средняя школа № 4;</w:t>
      </w:r>
    </w:p>
    <w:p w:rsidR="00E83C73" w:rsidRDefault="00E83C73">
      <w:pPr>
        <w:widowControl/>
        <w:tabs>
          <w:tab w:val="left" w:pos="18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МКОУ Гремучинская школа № 19;</w:t>
      </w:r>
    </w:p>
    <w:p w:rsidR="00E83C73" w:rsidRDefault="00E83C73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МКОУ Осиновская школа;</w:t>
      </w:r>
    </w:p>
    <w:p w:rsidR="00E83C73" w:rsidRDefault="00E83C73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МКОУ Таежнинская школа № 20.</w:t>
      </w:r>
    </w:p>
    <w:p w:rsidR="00E83C73" w:rsidRDefault="00E83C73">
      <w:pPr>
        <w:widowControl/>
        <w:ind w:firstLine="709"/>
        <w:jc w:val="both"/>
        <w:rPr>
          <w:rFonts w:ascii="Arial CYR" w:hAnsi="Arial CYR" w:cs="Arial CYR"/>
          <w:sz w:val="16"/>
          <w:szCs w:val="16"/>
          <w:highlight w:val="green"/>
        </w:rPr>
      </w:pPr>
      <w:r>
        <w:rPr>
          <w:sz w:val="28"/>
          <w:szCs w:val="28"/>
          <w:highlight w:val="white"/>
        </w:rPr>
        <w:t xml:space="preserve"> В 2022-2024 годах доля  показатель останется на уровне 2021 года.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E83C73" w:rsidRDefault="00E83C73" w:rsidP="000A22B0">
      <w:pPr>
        <w:jc w:val="both"/>
      </w:pPr>
    </w:p>
    <w:p w:rsidR="00E83C73" w:rsidRDefault="00E83C73" w:rsidP="004713C3">
      <w:pPr>
        <w:jc w:val="both"/>
      </w:pPr>
      <w:r>
        <w:rPr>
          <w:sz w:val="28"/>
          <w:szCs w:val="28"/>
          <w:highlight w:val="white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2021 году составили 54,40 тыс. рублей на обучающегося, в 2022 году показатель  уменьшится на 7,35 % составит 50,40 тыс. рублей.  К 2023-2024 году показатель составит 50,40 тыс. руб.</w:t>
      </w:r>
    </w:p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E83C73" w:rsidRDefault="00E83C73"/>
    <w:p w:rsidR="00E83C73" w:rsidRDefault="00E83C73">
      <w:pPr>
        <w:ind w:left="140" w:firstLine="720"/>
        <w:jc w:val="both"/>
        <w:rPr>
          <w:rFonts w:ascii="Arial CYR" w:hAnsi="Arial CYR" w:cs="Arial CYR"/>
          <w:sz w:val="16"/>
          <w:szCs w:val="16"/>
          <w:highlight w:val="white"/>
        </w:rPr>
      </w:pPr>
      <w:r>
        <w:rPr>
          <w:sz w:val="28"/>
          <w:szCs w:val="28"/>
          <w:highlight w:val="white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2020 году составила 55,75 %. В 2021 году увеличился и  составил 73,04%. 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IV. Культура</w:t>
      </w:r>
    </w:p>
    <w:p w:rsidR="00E83C73" w:rsidRDefault="00E83C73"/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20. Уровень фактической обеспеченности учреждениями культуры от нормативной потребности:</w:t>
      </w:r>
    </w:p>
    <w:p w:rsidR="00E83C73" w:rsidRDefault="00E83C73"/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клубами и учреждениями клубного типа;</w:t>
      </w:r>
    </w:p>
    <w:p w:rsidR="00E83C73" w:rsidRDefault="00E83C73"/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Уровень фактической обеспеченности в муниципальном районе клубами и учреждениями клубного типа от нормативной потребности составляет 100 %</w:t>
      </w:r>
      <w:r>
        <w:rPr>
          <w:color w:val="FF0000"/>
          <w:sz w:val="28"/>
          <w:szCs w:val="28"/>
          <w:highlight w:val="white"/>
        </w:rPr>
        <w:t>.</w:t>
      </w:r>
    </w:p>
    <w:p w:rsidR="00E83C73" w:rsidRDefault="00E83C73">
      <w:pPr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библиотеками;</w:t>
      </w:r>
    </w:p>
    <w:p w:rsidR="00E83C73" w:rsidRDefault="00E83C73"/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Уровень фактической обеспеченности муниципальном районе библиотеками  составляет 76,0 % (в районе есть населенные пункты с населением до 30 человек, поэтому нет потребности в развитии сети библиотек, для обслуживания населения библиотечными услугами в этих населенных пунктах используется передвижная библиотека).</w:t>
      </w:r>
    </w:p>
    <w:p w:rsidR="00E83C73" w:rsidRDefault="00E83C73">
      <w:pPr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парками культуры и отдыха.</w:t>
      </w:r>
    </w:p>
    <w:p w:rsidR="00E83C73" w:rsidRDefault="00E83C73"/>
    <w:p w:rsidR="00E83C73" w:rsidRDefault="00E83C7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Парки культуры и отдыха в районе отсутствуют.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E83C73" w:rsidRDefault="00E83C73"/>
    <w:p w:rsidR="00E83C73" w:rsidRDefault="00E83C73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Доля муниципальных учреждений культуры, здания которых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находятся в аварийном состоянии или требуют капитального ремонта, в общем количестве муниципальных учреждений культуры в 2021 году составляет 36,7%,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 2020 году  -  40 %.</w:t>
      </w:r>
    </w:p>
    <w:p w:rsidR="00E83C73" w:rsidRDefault="00E83C73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Здания и помещения учреждений культуры, требующие капитального ремонта:</w:t>
      </w:r>
    </w:p>
    <w:p w:rsidR="00E83C73" w:rsidRDefault="00E83C73">
      <w:pPr>
        <w:widowControl/>
        <w:ind w:firstLine="708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11 Домов культуры</w:t>
      </w:r>
      <w:r>
        <w:rPr>
          <w:sz w:val="28"/>
          <w:szCs w:val="28"/>
          <w:u w:val="single"/>
        </w:rPr>
        <w:t>: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СДК п. Новохайский – филиал МБУК БМ РДК «Янтарь»;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СДК п. Пинчуга - филиал МБУК БМ РДК «Янтарь»;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СК с. Карабула - филиал МБУК БМ РДК «Янтарь»;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СДК п. Красногорьевский - филиал МБУК БМ РДК «Янтарь»; 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СДК п. Таежный - филиал МБУК БМ РДК «Янтарь»;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СДК п. Гремучий - филиал МБУК БМ РДК «Янтарь»;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СДК п. Манзя - филиал МБУК БМ РДК «Янтарь»;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СДК п. Октябрьский - филиал МБУК БМ РДК «Янтарь»;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СДК п. Хребтовый - филиал МБУК БМ РДК «Янтарь»;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СДК п. Такучет – филиал МБУК БМ РДК «Янтарь»</w:t>
      </w:r>
    </w:p>
    <w:p w:rsidR="00E83C73" w:rsidRDefault="00E83C73" w:rsidP="00E83C73">
      <w:pPr>
        <w:numPr>
          <w:ilvl w:val="0"/>
          <w:numId w:val="1"/>
        </w:numPr>
        <w:ind w:left="1428" w:hanging="360"/>
        <w:jc w:val="both"/>
        <w:rPr>
          <w:sz w:val="28"/>
          <w:szCs w:val="28"/>
        </w:rPr>
      </w:pPr>
      <w:r>
        <w:rPr>
          <w:sz w:val="28"/>
          <w:szCs w:val="28"/>
        </w:rPr>
        <w:t>СДК «Юность» с. Чунояр - филиал МБУК БМ РДК «Янтарь».</w:t>
      </w:r>
    </w:p>
    <w:p w:rsidR="00E83C73" w:rsidRDefault="00E83C73">
      <w:pPr>
        <w:widowControl/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10 библиотек:</w:t>
      </w:r>
    </w:p>
    <w:p w:rsidR="00E83C73" w:rsidRDefault="00E83C73" w:rsidP="00E83C73">
      <w:pPr>
        <w:numPr>
          <w:ilvl w:val="0"/>
          <w:numId w:val="2"/>
        </w:numPr>
        <w:ind w:left="1440"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Богучанская межпоселенческая Центральная районная библиотека;</w:t>
      </w:r>
    </w:p>
    <w:p w:rsidR="00E83C73" w:rsidRDefault="00E83C73" w:rsidP="00E83C73">
      <w:pPr>
        <w:numPr>
          <w:ilvl w:val="0"/>
          <w:numId w:val="2"/>
        </w:numPr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Пинчугская библиотека – филиал МБУК БМ ЦРБ;</w:t>
      </w:r>
    </w:p>
    <w:p w:rsidR="00E83C73" w:rsidRDefault="00E83C73" w:rsidP="00E83C73">
      <w:pPr>
        <w:numPr>
          <w:ilvl w:val="0"/>
          <w:numId w:val="2"/>
        </w:numPr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Невонская библиотека - филиал МБУК БМ ЦРБ;</w:t>
      </w:r>
    </w:p>
    <w:p w:rsidR="00E83C73" w:rsidRDefault="00E83C73" w:rsidP="00E83C73">
      <w:pPr>
        <w:numPr>
          <w:ilvl w:val="0"/>
          <w:numId w:val="2"/>
        </w:numPr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Гремучинская библиотека - филиал МБУК БМ ЦРБ;</w:t>
      </w:r>
    </w:p>
    <w:p w:rsidR="00E83C73" w:rsidRDefault="00E83C73" w:rsidP="00E83C73">
      <w:pPr>
        <w:numPr>
          <w:ilvl w:val="0"/>
          <w:numId w:val="2"/>
        </w:numPr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Манзенская библиотека - филиал МБУК БМ ЦРБ;</w:t>
      </w:r>
    </w:p>
    <w:p w:rsidR="00E83C73" w:rsidRDefault="00E83C73" w:rsidP="00E83C73">
      <w:pPr>
        <w:numPr>
          <w:ilvl w:val="0"/>
          <w:numId w:val="2"/>
        </w:numPr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Артюгинская библиотека - филиал МБУК БМ ЦРБ;</w:t>
      </w:r>
    </w:p>
    <w:p w:rsidR="00E83C73" w:rsidRDefault="00E83C73" w:rsidP="00E83C73">
      <w:pPr>
        <w:numPr>
          <w:ilvl w:val="0"/>
          <w:numId w:val="2"/>
        </w:numPr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Нижнетерянская библиотека - филиал МБУК БМ ЦРБ;</w:t>
      </w:r>
    </w:p>
    <w:p w:rsidR="00E83C73" w:rsidRDefault="00E83C73" w:rsidP="00E83C73">
      <w:pPr>
        <w:numPr>
          <w:ilvl w:val="0"/>
          <w:numId w:val="2"/>
        </w:numPr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Новохайская библиотека - филиал МБУК БМ ЦРБ;</w:t>
      </w:r>
    </w:p>
    <w:p w:rsidR="00E83C73" w:rsidRDefault="00E83C73" w:rsidP="00E83C73">
      <w:pPr>
        <w:numPr>
          <w:ilvl w:val="0"/>
          <w:numId w:val="2"/>
        </w:numPr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Ангарская библиотека - филиал МБУК БМ ЦРБ;</w:t>
      </w:r>
    </w:p>
    <w:p w:rsidR="00E83C73" w:rsidRDefault="00E83C73" w:rsidP="00E83C73">
      <w:pPr>
        <w:numPr>
          <w:ilvl w:val="0"/>
          <w:numId w:val="2"/>
        </w:numPr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Хребтовская библиотека - филиал МБУК БМ ЦРБ.</w:t>
      </w:r>
    </w:p>
    <w:p w:rsidR="00E83C73" w:rsidRDefault="00E83C73">
      <w:pPr>
        <w:widowControl/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детские школы искусств:</w:t>
      </w:r>
    </w:p>
    <w:p w:rsidR="00E83C73" w:rsidRDefault="00E83C73" w:rsidP="00E83C73">
      <w:pPr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МБУ ДО «Таежнинская ДШИ»</w:t>
      </w:r>
    </w:p>
    <w:p w:rsidR="00E83C73" w:rsidRDefault="00E83C73" w:rsidP="00E83C73">
      <w:pPr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МБУ ДО «Невонская ДШИ».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прогнозном периоде в 2023-2024 года показатель составит 33,3 %.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E83C73" w:rsidRDefault="00E83C73"/>
    <w:p w:rsidR="00E83C73" w:rsidRDefault="00E83C73">
      <w:pPr>
        <w:ind w:left="140"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составляет "0" процентов.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V. Физическая культура и спорт</w:t>
      </w:r>
    </w:p>
    <w:p w:rsidR="00E83C73" w:rsidRDefault="00E83C73"/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E83C73" w:rsidRDefault="00E83C73"/>
    <w:p w:rsidR="00E83C73" w:rsidRDefault="00E83C73">
      <w:pPr>
        <w:widowControl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2021 года в поселениях района действует  99 объектов спортивного и оздоровительного назначения, которые находятся в рабочем состоянии и на которых проводится учебно-тренировочная и оздоровительная деятельность. </w:t>
      </w:r>
    </w:p>
    <w:p w:rsidR="00E83C73" w:rsidRDefault="00E83C73">
      <w:pPr>
        <w:widowControl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проведено  278 спортивных мероприятий, в них приняло участие более  4500 человек. </w:t>
      </w:r>
    </w:p>
    <w:p w:rsidR="00E83C73" w:rsidRDefault="00E83C73">
      <w:pPr>
        <w:ind w:left="80" w:firstLine="800"/>
        <w:jc w:val="both"/>
        <w:rPr>
          <w:rFonts w:ascii="Arial CYR" w:hAnsi="Arial CYR" w:cs="Arial CYR"/>
          <w:sz w:val="16"/>
          <w:szCs w:val="16"/>
        </w:rPr>
      </w:pPr>
      <w:r>
        <w:rPr>
          <w:sz w:val="28"/>
          <w:szCs w:val="28"/>
        </w:rPr>
        <w:t>В 18 администрациях сельсоветов  имеются  ставки инструкторов по спорту, руководителей клубов по работе с населением. Это дает положительные результаты в плане содержания спортивных объектов, способствует росту числа жителей, систематически занимающихся физической культурой и спортом  с 34,38 % в 2020 году до 38,32 %  в 2021 году. К 2023 году данный показатель составит 45,97 %, в 2024 году данный показатель увеличится до 48,70%</w:t>
      </w:r>
    </w:p>
    <w:p w:rsidR="00E83C73" w:rsidRDefault="00E83C73">
      <w:pPr>
        <w:rPr>
          <w:rFonts w:ascii="Arial CYR" w:hAnsi="Arial CYR" w:cs="Arial CYR"/>
          <w:sz w:val="20"/>
          <w:szCs w:val="20"/>
        </w:rPr>
      </w:pPr>
    </w:p>
    <w:p w:rsidR="00E83C73" w:rsidRDefault="00E83C73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E83C73" w:rsidRDefault="00E83C73"/>
    <w:p w:rsidR="00E83C73" w:rsidRDefault="00E83C73">
      <w:pPr>
        <w:ind w:left="80" w:firstLine="800"/>
        <w:jc w:val="both"/>
        <w:rPr>
          <w:rFonts w:ascii="Arial CYR" w:hAnsi="Arial CYR" w:cs="Arial CYR"/>
          <w:sz w:val="16"/>
          <w:szCs w:val="16"/>
        </w:rPr>
      </w:pPr>
      <w:r>
        <w:rPr>
          <w:sz w:val="28"/>
          <w:szCs w:val="28"/>
        </w:rPr>
        <w:t>Доля обучающихся, систематически занимающихся физической культурой и спортом, в общей численности обучающихся и студентов в 2021 году составила 59,69%, показатель уменьшился по сравнению с 2020 годом за счет изменения возрастного показателя  занимающихся физкультурой и спортом  от 3 до 18 лет. К 2023 году данный показатель составит  80,00 %. , в 2024 году  82,40%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E83C73" w:rsidRDefault="00E83C73"/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24. Общая площадь жилых помещений, приходящаяся в среднем на одного жителя</w:t>
      </w:r>
    </w:p>
    <w:p w:rsidR="00E83C73" w:rsidRDefault="00E83C73"/>
    <w:p w:rsidR="00E83C73" w:rsidRDefault="00E83C73">
      <w:pPr>
        <w:ind w:left="120"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жилых  помещений, приходящаяся в среднем на одного  жителя,  в  2021 году составила 25,15 кв. метров, что на 0,99 % больше, чем в 2020 году, увеличение  показателя произошло в результате инвентаризации общей площади жилого фонда в районе вводом нового жилья, в  2023 году  планируется увеличение данного показателя до 25,56 кв. метров на одного жителя. </w:t>
      </w:r>
    </w:p>
    <w:p w:rsidR="00E83C73" w:rsidRDefault="00E83C73">
      <w:pPr>
        <w:ind w:left="120" w:firstLine="880"/>
        <w:jc w:val="righ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386"/>
        <w:gridCol w:w="1221"/>
        <w:gridCol w:w="1219"/>
        <w:gridCol w:w="1277"/>
        <w:gridCol w:w="1255"/>
        <w:gridCol w:w="1296"/>
      </w:tblGrid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24. Общая площадь жилых помещений, приходящаяся в среднем на одного жителя, - всего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 и единицы измерения</w:t>
            </w:r>
          </w:p>
        </w:tc>
        <w:tc>
          <w:tcPr>
            <w:tcW w:w="6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 показателя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факт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факт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оценка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прогноз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прогноз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Общая площадь жилых помещений, кв.м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1 121 600,00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1 124 290,00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1 129 290,00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1 133 290,00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1 137 290,00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Введено жилых помещений за отчетный период, кв.м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16 755,00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Выбыло жилых помещений за отчетный период, кв.м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Численность постоянного </w:t>
            </w:r>
            <w:r w:rsidRPr="004713C3">
              <w:rPr>
                <w:sz w:val="22"/>
                <w:szCs w:val="22"/>
              </w:rPr>
              <w:t xml:space="preserve">населения муниципального, городского округа (муниципального района) </w:t>
            </w:r>
            <w:r w:rsidRPr="004713C3">
              <w:rPr>
                <w:b/>
                <w:bCs/>
                <w:sz w:val="22"/>
                <w:szCs w:val="22"/>
              </w:rPr>
              <w:t>на</w:t>
            </w:r>
            <w:r w:rsidRPr="004713C3">
              <w:rPr>
                <w:sz w:val="22"/>
                <w:szCs w:val="22"/>
              </w:rPr>
              <w:t xml:space="preserve"> </w:t>
            </w:r>
            <w:r w:rsidRPr="004713C3">
              <w:rPr>
                <w:b/>
                <w:bCs/>
                <w:sz w:val="22"/>
                <w:szCs w:val="22"/>
              </w:rPr>
              <w:t>конец отчетного года</w:t>
            </w:r>
            <w:r w:rsidRPr="004713C3">
              <w:rPr>
                <w:sz w:val="22"/>
                <w:szCs w:val="22"/>
              </w:rPr>
              <w:t>, чел.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43297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26,27</w:t>
            </w:r>
          </w:p>
        </w:tc>
      </w:tr>
    </w:tbl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24.1. в том числе введенная в действие за один год</w:t>
      </w:r>
    </w:p>
    <w:p w:rsidR="00E83C73" w:rsidRDefault="00E83C73"/>
    <w:p w:rsidR="00E83C73" w:rsidRDefault="00E83C73">
      <w:pPr>
        <w:ind w:left="120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Общая площадь жилых  помещений,</w:t>
      </w:r>
      <w:r>
        <w:rPr>
          <w:rFonts w:ascii="Arial CYR" w:hAnsi="Arial CYR" w:cs="Arial CYR"/>
          <w:sz w:val="16"/>
          <w:szCs w:val="16"/>
          <w:highlight w:val="white"/>
        </w:rPr>
        <w:t xml:space="preserve"> </w:t>
      </w:r>
      <w:r>
        <w:rPr>
          <w:sz w:val="28"/>
          <w:szCs w:val="28"/>
          <w:highlight w:val="white"/>
        </w:rPr>
        <w:t>введенная в действие в 2021 году, составила 0,17 кв. метров на одного жителя, показатель   уменьшился  по сравнению с 2020 годом до 54,05 %.  В 2022 году общая площадь жилых помещений введенная на одного жителя составит 0,11 кв. метров.</w:t>
      </w:r>
    </w:p>
    <w:p w:rsidR="00E83C73" w:rsidRDefault="00E83C73">
      <w:pPr>
        <w:widowControl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 xml:space="preserve">В прогнозном периоде показатель не изменится в 2023-2024 году 0,09 кв. метров на одного жителя. В связи  с тем что, </w:t>
      </w:r>
      <w:r>
        <w:rPr>
          <w:sz w:val="28"/>
          <w:szCs w:val="28"/>
        </w:rPr>
        <w:t>на территории поселений Богучанского района имеется  острая проблема обеспеченности коммунальной инфраструктурой земельных участков темпы строительства в районе незначительные. Для увеличения объемов строительства  необходимо  обеспечить инфраструктурой уже предоставленные гражданам земельные участки на площади более 400 га.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83C73" w:rsidRDefault="00E83C73">
      <w:pPr>
        <w:widowControl/>
        <w:jc w:val="right"/>
      </w:pPr>
    </w:p>
    <w:tbl>
      <w:tblPr>
        <w:tblW w:w="0" w:type="auto"/>
        <w:tblInd w:w="93" w:type="dxa"/>
        <w:tblLayout w:type="fixed"/>
        <w:tblLook w:val="0000"/>
      </w:tblPr>
      <w:tblGrid>
        <w:gridCol w:w="4551"/>
        <w:gridCol w:w="1134"/>
        <w:gridCol w:w="931"/>
        <w:gridCol w:w="1002"/>
        <w:gridCol w:w="1097"/>
        <w:gridCol w:w="1097"/>
      </w:tblGrid>
      <w:tr w:rsidR="00E83C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Расчетная таблица к показателю: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9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24.1. Общая площадь жилых помещений, введенная в действие за год, в среднем на одного жителя края 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 и единицы измерения</w:t>
            </w: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 показателя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факт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факт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оценка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прогноз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прогноз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Введено всего, кв.м,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 индивидуальное жилищное строительство,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 многоквартирное строительство,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713C3">
              <w:rPr>
                <w:sz w:val="22"/>
                <w:szCs w:val="22"/>
              </w:rPr>
              <w:t xml:space="preserve">. </w:t>
            </w:r>
            <w:r w:rsidRPr="004713C3">
              <w:rPr>
                <w:b/>
                <w:bCs/>
                <w:sz w:val="22"/>
                <w:szCs w:val="22"/>
              </w:rPr>
              <w:t>Среднегодовая</w:t>
            </w:r>
            <w:r w:rsidRPr="004713C3">
              <w:rPr>
                <w:sz w:val="22"/>
                <w:szCs w:val="22"/>
              </w:rPr>
              <w:t xml:space="preserve"> численность</w:t>
            </w:r>
            <w:r>
              <w:rPr>
                <w:color w:val="000000"/>
                <w:sz w:val="22"/>
                <w:szCs w:val="22"/>
              </w:rPr>
              <w:t xml:space="preserve"> постоянного населения муниципального, городского округа (муниципального района),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45 254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44 440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43 509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</w:tbl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E83C73" w:rsidRDefault="00E83C73"/>
    <w:p w:rsidR="00E83C73" w:rsidRDefault="00E83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«25. Площадь земельных участков, предоставленных для строительства, в расчете на 10 тыс. населения – всего» в 2021 году  составил 11,95 га на 10 тыс. населения, в 2020 году – 34,74  га на 10 тыс. населения, к 2023- 2024 году  данный  показатель составит  до 9,19 га на 10 тыс. населения. </w:t>
      </w:r>
    </w:p>
    <w:p w:rsidR="00E83C73" w:rsidRDefault="00E83C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«25.1. для жилищного строительства, индивидуального жилищного строительства, в расчете на 10 тыс. населения» в 2020 году – 2,95  га, 2021 году  составил 3,79 га на 10 тыс. населения. В 2022 году ожидается снижение показателя до 2,25 га на 10 тыс. населения в связи с отсутствием в районе свободных земель под жилищное строительство. В  2023 - 2024 годы показатель планируется до 2,30 га на 10 тыс. населения.  </w:t>
      </w:r>
    </w:p>
    <w:p w:rsidR="00E83C73" w:rsidRDefault="00E83C73">
      <w:pPr>
        <w:tabs>
          <w:tab w:val="left" w:pos="1245"/>
        </w:tabs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4077"/>
        <w:gridCol w:w="1094"/>
        <w:gridCol w:w="954"/>
        <w:gridCol w:w="1129"/>
        <w:gridCol w:w="1165"/>
        <w:gridCol w:w="1094"/>
      </w:tblGrid>
      <w:tr w:rsidR="00E83C7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25. Площадь земельных участков, предоставленных для строительства, в расчете на 10 тыс. человек населения, всего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25.1.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 и единицы измерения</w:t>
            </w:r>
          </w:p>
        </w:tc>
        <w:tc>
          <w:tcPr>
            <w:tcW w:w="5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 показателя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факт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факт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оценка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прогноз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прогноз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 для жилищного строительства (в т.ч. для ИЖС),  га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ind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Среднегодовая</w:t>
            </w:r>
            <w:r>
              <w:rPr>
                <w:color w:val="000000"/>
                <w:sz w:val="22"/>
                <w:szCs w:val="22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45 254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44 440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43 509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34,74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9,19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2,30</w:t>
            </w:r>
          </w:p>
        </w:tc>
      </w:tr>
    </w:tbl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9D5B15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E83C73" w:rsidRDefault="00E83C73"/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26.1. объектов жилищного строительства - в течение 3 лет</w:t>
      </w:r>
    </w:p>
    <w:p w:rsidR="00E83C73" w:rsidRDefault="00E83C73"/>
    <w:p w:rsidR="00E83C73" w:rsidRDefault="00E83C73" w:rsidP="009D5B15">
      <w:pPr>
        <w:jc w:val="both"/>
      </w:pPr>
      <w:r>
        <w:rPr>
          <w:color w:val="000000"/>
          <w:sz w:val="28"/>
          <w:szCs w:val="28"/>
        </w:rPr>
        <w:t>Площадь земельных участков, предоставленных для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лет, в Богучанском районе отсутствует</w:t>
      </w:r>
    </w:p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26.2. иных объектов капитального строительства - в течение 5 лет</w:t>
      </w:r>
    </w:p>
    <w:p w:rsidR="00E83C73" w:rsidRDefault="00E83C73"/>
    <w:p w:rsidR="00E83C73" w:rsidRDefault="00E83C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земельных участков, предоставленных для иных объектов капитального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5 лет, в Богучанском районе отсутствует.</w:t>
      </w:r>
    </w:p>
    <w:p w:rsidR="00E83C73" w:rsidRDefault="00E83C73">
      <w:pPr>
        <w:rPr>
          <w:rFonts w:ascii="Arial CYR" w:hAnsi="Arial CYR" w:cs="Arial CYR"/>
          <w:sz w:val="16"/>
          <w:szCs w:val="16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VII. Жилищно-коммунальное хозяйство</w:t>
      </w:r>
    </w:p>
    <w:p w:rsidR="00E83C73" w:rsidRDefault="00E83C73"/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9D5B15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E83C73" w:rsidRDefault="00E83C73"/>
    <w:p w:rsidR="00E83C73" w:rsidRDefault="00E83C73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составляет 100 %.</w:t>
      </w:r>
    </w:p>
    <w:p w:rsidR="00E83C73" w:rsidRDefault="00E83C73">
      <w:pPr>
        <w:rPr>
          <w:rFonts w:ascii="Arial CYR" w:hAnsi="Arial CYR" w:cs="Arial CYR"/>
          <w:sz w:val="16"/>
          <w:szCs w:val="16"/>
        </w:rPr>
      </w:pP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 w:rsidP="009D5B15">
      <w:pPr>
        <w:jc w:val="both"/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E83C73" w:rsidRDefault="00E83C73"/>
    <w:p w:rsidR="00E83C73" w:rsidRDefault="00E83C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района, составляет 85,71%.</w:t>
      </w:r>
    </w:p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E83C73" w:rsidRDefault="00E83C73"/>
    <w:p w:rsidR="00E83C73" w:rsidRDefault="00E83C7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учет в 2020 году составила 33,33%,  в 2021 году 33,48% . </w:t>
      </w:r>
      <w:r>
        <w:rPr>
          <w:sz w:val="28"/>
          <w:szCs w:val="28"/>
        </w:rPr>
        <w:t xml:space="preserve">В январе  2021 года в п. Октябрьский по адресу 2-я Пионерская д.8 сгорел восьми квартирный дом. </w:t>
      </w:r>
    </w:p>
    <w:p w:rsidR="00E83C73" w:rsidRDefault="00E83C7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Доля многоквартирных домов, расположенных на земельных участках, в отношении которых осуществлен государственный кадастровый учет,  рассчитана исходя из данных Таблицы :</w:t>
      </w:r>
    </w:p>
    <w:p w:rsidR="00E83C73" w:rsidRDefault="00E83C73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В 2022 году доля многоквартирных домов, расположенных на земельных участках, в отношении которых осуществлен государственный кадастровый учет составит 33,48 %.</w:t>
      </w:r>
    </w:p>
    <w:p w:rsidR="00E83C73" w:rsidRDefault="00E83C73">
      <w:pPr>
        <w:ind w:left="140" w:firstLine="780"/>
        <w:jc w:val="right"/>
        <w:rPr>
          <w:sz w:val="28"/>
          <w:szCs w:val="28"/>
          <w:highlight w:val="white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4551"/>
        <w:gridCol w:w="993"/>
        <w:gridCol w:w="992"/>
        <w:gridCol w:w="992"/>
        <w:gridCol w:w="992"/>
        <w:gridCol w:w="993"/>
      </w:tblGrid>
      <w:tr w:rsidR="00E83C73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29. 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 и единицы измерения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 показателя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прогноз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Общее число многоквартирных домов по состоянию на конец отчетного периода, единиц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i/>
                <w:iCs/>
                <w:color w:val="000000"/>
                <w:sz w:val="22"/>
                <w:szCs w:val="22"/>
              </w:rPr>
              <w:t>(по данным статистического отчета 1-жилфонд строка 01 графа 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33,48</w:t>
            </w:r>
          </w:p>
        </w:tc>
      </w:tr>
    </w:tbl>
    <w:p w:rsidR="00E83C73" w:rsidRDefault="00E83C73"/>
    <w:p w:rsidR="00E83C73" w:rsidRDefault="00E83C73">
      <w:pPr>
        <w:rPr>
          <w:color w:val="000000"/>
          <w:sz w:val="12"/>
          <w:szCs w:val="12"/>
        </w:rPr>
      </w:pPr>
    </w:p>
    <w:p w:rsidR="00E83C73" w:rsidRDefault="00E83C73">
      <w:pPr>
        <w:rPr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E83C73" w:rsidRDefault="00E83C73"/>
    <w:p w:rsidR="00E83C73" w:rsidRDefault="00E83C73">
      <w:pPr>
        <w:ind w:right="50" w:firstLine="709"/>
        <w:jc w:val="both"/>
        <w:rPr>
          <w:sz w:val="30"/>
          <w:szCs w:val="30"/>
          <w:u w:color="FF0000"/>
        </w:rPr>
      </w:pPr>
      <w:r>
        <w:rPr>
          <w:sz w:val="28"/>
          <w:szCs w:val="28"/>
        </w:rPr>
        <w:t>В 2021 году доля населения, получившего жилые помещения и улучшившего жилищные условия по договорам социального найма, в общей численности населения, состоящего на учёте в качестве нуждающегося в жилых помещениях, составила 33,92</w:t>
      </w:r>
      <w:r>
        <w:rPr>
          <w:sz w:val="28"/>
          <w:szCs w:val="28"/>
          <w:highlight w:val="white"/>
        </w:rPr>
        <w:t xml:space="preserve"> %. По оценке и в прогнозном периоде планируется увеличение показателя за счет снижения числ</w:t>
      </w:r>
      <w:r>
        <w:rPr>
          <w:sz w:val="28"/>
          <w:szCs w:val="28"/>
        </w:rPr>
        <w:t xml:space="preserve">енности населения (семей), состоящих на учете в качестве нуждающегося в жилых помещениях по договорам социального найма, </w:t>
      </w:r>
      <w:r>
        <w:rPr>
          <w:sz w:val="30"/>
          <w:szCs w:val="30"/>
        </w:rPr>
        <w:t xml:space="preserve">перераспределения свободного от найма жилищных помещений, жилья переданного участниками программы «Север-Юг» в муниципальную собственность, введенного нового жилья для специалистов отраслей здравоохранения и образования. Кроме того в администрациях сельсоветов имеется свободное жилье для передачи жилья по договору социального найма. </w:t>
      </w:r>
      <w:r>
        <w:rPr>
          <w:sz w:val="30"/>
          <w:szCs w:val="30"/>
          <w:u w:color="FF0000"/>
        </w:rPr>
        <w:t>Показатели представлены  в Таблице .</w:t>
      </w:r>
    </w:p>
    <w:p w:rsidR="00E83C73" w:rsidRDefault="00E83C73">
      <w:pPr>
        <w:ind w:right="50" w:firstLine="709"/>
        <w:jc w:val="both"/>
        <w:rPr>
          <w:sz w:val="30"/>
          <w:szCs w:val="30"/>
          <w:u w:color="FF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4089"/>
        <w:gridCol w:w="937"/>
        <w:gridCol w:w="937"/>
        <w:gridCol w:w="939"/>
        <w:gridCol w:w="959"/>
        <w:gridCol w:w="959"/>
      </w:tblGrid>
      <w:tr w:rsidR="00E83C73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Значения показателя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2020 факт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2021 факт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2022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2023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2024 прогноз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 xml:space="preserve">1. Численность населения (семей), получившего жилые помещения и улучшившего жилищные условия </w:t>
            </w: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по договору социального найма в отчетном году</w:t>
            </w:r>
            <w:r>
              <w:rPr>
                <w:color w:val="000000"/>
                <w:sz w:val="22"/>
                <w:szCs w:val="22"/>
                <w:u w:color="FF0000"/>
              </w:rPr>
              <w:t>, чел.</w:t>
            </w:r>
            <w:r>
              <w:rPr>
                <w:color w:val="000000"/>
                <w:sz w:val="22"/>
                <w:szCs w:val="22"/>
                <w:u w:color="FF0000"/>
              </w:rPr>
              <w:br/>
            </w:r>
            <w:r>
              <w:rPr>
                <w:i/>
                <w:iCs/>
                <w:color w:val="000000"/>
                <w:sz w:val="22"/>
                <w:szCs w:val="22"/>
                <w:u w:color="FF0000"/>
              </w:rPr>
              <w:t>(по данным статистического отчета 4-жилфонд строка 04 графа 3)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62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both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по договорам социального найма на конец прошлого года</w:t>
            </w:r>
            <w:r>
              <w:rPr>
                <w:color w:val="000000"/>
                <w:sz w:val="22"/>
                <w:szCs w:val="22"/>
                <w:u w:color="FF0000"/>
              </w:rPr>
              <w:t>, чел. 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171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172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174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176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both"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18,51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33,92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35,06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35,23</w:t>
            </w:r>
          </w:p>
        </w:tc>
      </w:tr>
    </w:tbl>
    <w:p w:rsidR="00E83C73" w:rsidRDefault="00E83C73">
      <w:pPr>
        <w:rPr>
          <w:rFonts w:ascii="Arial CYR" w:hAnsi="Arial CYR" w:cs="Arial CYR"/>
          <w:u w:color="FF0000"/>
        </w:rPr>
      </w:pPr>
    </w:p>
    <w:p w:rsidR="00E83C73" w:rsidRDefault="00E83C73">
      <w:pPr>
        <w:rPr>
          <w:rFonts w:ascii="MS Sans Serif" w:hAnsi="MS Sans Serif" w:cs="MS Sans Serif"/>
          <w:sz w:val="16"/>
          <w:szCs w:val="16"/>
          <w:u w:color="FF0000"/>
        </w:rPr>
      </w:pP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VIII. Организация муниципального управления</w:t>
      </w:r>
    </w:p>
    <w:p w:rsidR="00E83C73" w:rsidRDefault="00E83C73">
      <w:pPr>
        <w:rPr>
          <w:u w:color="FF0000"/>
        </w:rPr>
      </w:pP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 w:rsidP="009D5B15">
      <w:pPr>
        <w:jc w:val="both"/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E83C73" w:rsidRDefault="00E83C73">
      <w:pPr>
        <w:rPr>
          <w:u w:color="FF0000"/>
        </w:rPr>
      </w:pPr>
    </w:p>
    <w:p w:rsidR="00E83C73" w:rsidRDefault="00E83C73">
      <w:pPr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 в 2021 году по сравнению с 2020 годом  увеличилась  на  2,44 %  и составила 47,69 % (в 2020 году – 45,25 %).  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  Доходы консолидированного  бюджета Богучанского района за 2021 год составили 2 621 656,9 тыс. руб., что на 308 376,6 тыс. руб. больше чем в 2020 году. Собственные доходы исполнены в сумме 775 184,0 тыс. руб.  по сравнению с 2020 годом доходы возросли   на 159 924,5 тыс. рублей.</w:t>
      </w:r>
    </w:p>
    <w:p w:rsidR="00E83C73" w:rsidRDefault="00E83C73">
      <w:pPr>
        <w:ind w:firstLine="567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Собственные доходы бюджета составляют 29,6%  от общего объема бюджета, безвозмездные поступления из краевого бюджета составляют  70,4 %.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Основными источниками формирования собственных доходов бюджета в 2021 году являлись: </w:t>
      </w:r>
    </w:p>
    <w:p w:rsidR="00E83C73" w:rsidRDefault="00E83C73">
      <w:pPr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 - налог на прибыль организаций                  - 98 393,9 тыс. руб. (12,7%);</w:t>
      </w:r>
    </w:p>
    <w:p w:rsidR="00E83C73" w:rsidRDefault="00E83C73">
      <w:pPr>
        <w:ind w:firstLine="142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- налог на доходы физических лиц                - 344 469,3 тыс. руб. (44,4%);</w:t>
      </w:r>
    </w:p>
    <w:p w:rsidR="00E83C73" w:rsidRDefault="00E83C73">
      <w:pPr>
        <w:ind w:firstLine="142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- налог, взимаемый в связи с применением</w:t>
      </w:r>
    </w:p>
    <w:p w:rsidR="00E83C73" w:rsidRDefault="00E83C73">
      <w:pPr>
        <w:ind w:firstLine="142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  упрощенной системы налогообложения        - 129 831,6 тыс. руб. (16,7%);</w:t>
      </w:r>
    </w:p>
    <w:p w:rsidR="00E83C73" w:rsidRDefault="00E83C73">
      <w:pPr>
        <w:ind w:firstLine="142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- земельный налог                                 - 25 647,2 тыс. руб.  (3,3%);</w:t>
      </w:r>
    </w:p>
    <w:p w:rsidR="00E83C73" w:rsidRDefault="00E83C73">
      <w:pPr>
        <w:ind w:firstLine="142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- арендная плата на земли                         -  43 479,1 тыс. руб. (5,6%);</w:t>
      </w:r>
    </w:p>
    <w:p w:rsidR="00E83C73" w:rsidRDefault="00E83C73">
      <w:pPr>
        <w:ind w:firstLine="142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- аренда имущества муниципальной собственности – 38 244,6 тыс. руб. (4,9%);</w:t>
      </w:r>
    </w:p>
    <w:p w:rsidR="00E83C73" w:rsidRDefault="00E83C73">
      <w:pPr>
        <w:ind w:firstLine="142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- доходы от реализации муниципального имущества -11 274,4 тыс. руб. (1,5%); </w:t>
      </w:r>
    </w:p>
    <w:p w:rsidR="00E83C73" w:rsidRDefault="00E83C73">
      <w:pPr>
        <w:ind w:firstLine="142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- доходы от оказания  платных услуг              -  27 912,9 тыс. руб. (3,6%);</w:t>
      </w:r>
    </w:p>
    <w:p w:rsidR="00E83C73" w:rsidRDefault="00E83C73">
      <w:pPr>
        <w:widowControl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 - штрафы, санкции, возмещение ущерба           - 10 758,4 тыс. рублей (1,4%). </w:t>
      </w:r>
    </w:p>
    <w:p w:rsidR="00E83C73" w:rsidRDefault="00E83C73">
      <w:pPr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На 01.01.2022 года   задолженность в районный бюджет  района  по налогам составила    5 363,5 тыс. рублей, по сравнению с началом года задолженность снизилась на 3 203,0 тыс. рублей. </w:t>
      </w:r>
    </w:p>
    <w:p w:rsidR="00E83C73" w:rsidRDefault="00E83C73">
      <w:pPr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Налог на прибыль организаций  в бюджете района составляет 12,7 процента. В 2021 году поступило  налога на прибыль организаций 98 393,9 тыс. рублей, плановые назначения выполнены на 101,7 процента. Дополнительно в бюджет поступило 1 687,9 тыс. рублей. По сравнению с 2020 годом рост поступлений составил 65 633,5 тыс. рублей, в основном рост поступлений связан  с увеличением объемов производства. Кроме того, отмечается рост поступлений предприятий ЗАО "БоАЗ" - на 51760,1 тыс. рублей,   АО "Краслесинвест" - на 10 197,55 тыс. рублей (в 2020 году поступлений не было), ОАО "Карабулалес" - на 1314,6 тыс. рублей, ООО "Атлант" - на 811,2 тыс. рублей, ООО "КЭК" - на 592,7 тыс. рублей, ООО "МЕДЕО" - на 417,1 тыс.рублей.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Налог на доходы физических лиц основной по величине источник  бюджета района, удельный вес которого в собственных доходах консолидированного бюджета составил 44,4 процентов. За 2021 год в  бюджет района  поступило 344 469,3 тыс. рублей, исполнение бюджетных назначений составило 102,4 процента, что больше прогнозных назначений на      7  985,2 тыс. рублей. По сравнению с 2020 годом произошло снижение поступлений  на 13 505,6 тыс.рублей. 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Снижение поступлений в 2021 году относительно 2020 года обусловлен снижением поступлений от предприятий ЗАО "организатор строительства Богучанского алюминиевого завода"- на 7969 тыс. рублей, АО "Заказчик строительства Богучанского алюминиевого завода" - на 1515,2 тыс. рублей, в связи с завершение строительства. В связи с изменением выплат по листам временной нетрудоспособности, снижение поступлений от ГУ- Красноярское РО ФСС РФ на 5189,9 тыс. рубле. 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color w:val="000000"/>
          <w:sz w:val="28"/>
          <w:szCs w:val="28"/>
          <w:u w:color="FF0000"/>
        </w:rPr>
        <w:t>В районе постоянно работает межведомственная комиссия.</w:t>
      </w:r>
      <w:r>
        <w:rPr>
          <w:sz w:val="28"/>
          <w:szCs w:val="28"/>
          <w:u w:color="FF0000"/>
        </w:rPr>
        <w:t xml:space="preserve"> За отчетный период проведено  7  заседаний межведомственной комиссии Приглашено 139 руководителей организаций, заслушан 22 руководителя организаций, имеющий задолженность по платежам в бюджет и внебюджетные фонды. По итогам проведенной совместной работы комиссии организациями произведена оплата текущей задолженности  в сумме  801,1 тыс. рублей.</w:t>
      </w:r>
    </w:p>
    <w:p w:rsidR="00E83C73" w:rsidRDefault="00E83C73">
      <w:pPr>
        <w:ind w:firstLine="709"/>
        <w:jc w:val="both"/>
        <w:rPr>
          <w:b/>
          <w:bCs/>
          <w:i/>
          <w:iCs/>
          <w:highlight w:val="yellow"/>
          <w:u w:color="FF0000"/>
        </w:rPr>
      </w:pPr>
      <w:r>
        <w:rPr>
          <w:color w:val="FF0000"/>
          <w:sz w:val="28"/>
          <w:szCs w:val="28"/>
          <w:u w:color="FF0000"/>
        </w:rPr>
        <w:t xml:space="preserve"> </w:t>
      </w:r>
      <w:r>
        <w:rPr>
          <w:sz w:val="28"/>
          <w:szCs w:val="28"/>
          <w:u w:color="FF0000"/>
        </w:rPr>
        <w:t xml:space="preserve">За отчетный период в части легализации заработной  платы было приглашено 79 работодателя, выплачивающих заработную плату ниже прожиточного минимума для трудоспособного населения. Заслушано 27 руководителей. 6 субъектов повысили зарплату до уровня прожиточного минимума трудоспособного населения; 18 работодателей предоставили иные пояснения. В отношении 72 субъектов направлены письма в прокуратуру Богучанского района  для принятия мер прокурорского реагирования. Дополнительные поступления НДФЛ в результате повышения заработной платы составили 241,7 тыс. рублей. </w:t>
      </w:r>
    </w:p>
    <w:p w:rsidR="00E83C73" w:rsidRDefault="00E83C73">
      <w:pPr>
        <w:widowControl/>
        <w:tabs>
          <w:tab w:val="right" w:pos="709"/>
        </w:tabs>
        <w:spacing w:before="120"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Начиная с 2020 года в бюджет района  поступают отчисления  от  налога, взимаемый в связи с применением упрощенной системы налогообложения, зачисляемого в региональные бюджеты. В 2021 году поступило налога 129 831,6 тыс. рублей,  что составило 102,6%  от утвержденного плана. По сравнению с 2020 годом рост поступлений составил 72 298,72 тыс. рублей.  Значительный рост поступлений объясняется  увеличением нормативов отчислений с 50% до 70%, ростом налоговой базы в связи с отменой ЕНВД и переходом налогоплательщиков на упрощенную систему налогообложения. Кроме того, в 2020 году применялись пониженные ставки для поддержки организаций и индивидуальных предпринимателей, занятых в сферах деятельности, наиболее пострадавших в условиях ухудшения ситуации в связи с распространением новой коронавирусной инфекции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Поступление по единому налогу на вмененный доход для определенных видов деятельности за 2021 год составило 6 968,1 тыс. рублей.   Снижение   поступлений по данному виду дохода к 2020 году составляет 16 209,6 тыс. руб. и связан с отменой с 01.01.2021 года  действие системы налогообложения в виде единого налога на вмененный доход для отдельных видов деятельности, в связи, с чем в 2021 году поступили средства только за 4 квартал 2020 года.  </w:t>
      </w:r>
    </w:p>
    <w:p w:rsidR="00E83C73" w:rsidRDefault="00E83C73">
      <w:pPr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Налога на имущество физических лиц  в  бюджет  поступило 4 477,8 тыс. руб.  по сравнению с 2020 годом снижение составило 1 693,4 тыс. руб. Снижение поступлений связано с низким уровнем собираемости налога, а также произведенного возврата средств плательщикам, в связи с перерасчетом начислений и примененияем налогового вычета.</w:t>
      </w:r>
    </w:p>
    <w:p w:rsidR="00E83C73" w:rsidRDefault="00E83C73">
      <w:pPr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     Земельного налога поступило  25 647,2 тыс. руб. что на  6 577,5 тыс. руб. выше уровня 2020 года. Рост поступлений по земельному налогу  юридических лиц обусловлен поступлением задолженности за прошлые годы. 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По государственной пошлине поступило в бюджет 6 472,6 тыс. рублей или 103,1% от плановых назначений. По сравнению с 2020 годом  поступило на  990,1 тыс. рублей больше в связи с увеличением количества рассматриваемых дел  в судах.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>
        <w:rPr>
          <w:rFonts w:ascii="Arial CYR" w:hAnsi="Arial CYR" w:cs="Arial CYR"/>
          <w:sz w:val="28"/>
          <w:szCs w:val="28"/>
          <w:u w:color="FF0000"/>
        </w:rPr>
        <w:t xml:space="preserve"> </w:t>
      </w:r>
      <w:r>
        <w:rPr>
          <w:sz w:val="28"/>
          <w:szCs w:val="28"/>
          <w:u w:color="FF0000"/>
        </w:rPr>
        <w:t>составили 43 479,1 тыс. рублей, что составляет 100,1 процент от  прогнозных назначений. Рост поступлений  относительно 2020 года составил 12 275,2 тыс. рублей. Данное отклонение сложилось в результате претензионно - исковой работы. В результате проведенной работы в бюджет поступило 16 300,1 тыс. руб.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Одним из основных источников  бюджета района в 2021 году являются доходы от сдачи в аренду муниципального имущества, удельный вес составил 4,9 процентов собственных доходов. За 2021 год в  бюджет поступило 38 244,6 тыс. рублей. По сравнению с 2020 годом  рост  поступлений  составил 659,2 тыс. рублей.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Доходы от реализации муниципального имущества носит непостоянный характер. В 2021 году поступления составили 11 274,4 тыс.рублей. В 2020 году план приватизации муниципального имущества не был исполнен, по причине отсутствия заявок при проведении электронных аукционов по продаже имущества. В 2021 году проданы три  объекта: здание общежития с земельным участком (п. Таежный), помещение магазина (п.Таежный), гараж с земельным участком (с.Богучаны)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Доходы от оказания платных услуг в 2021 году исполнены на 101,32% к годовым назначениям и составили 27 912,9 тыс. руб. По сравнению с 2020 годом рост составил 5 603,7 тыс. руб. Росту данного дохода способствовало увеличение родительской платы в детских дошкольных образовательных учреждений, заключение договоров на возмещение расходов тепло-водо снабжения.</w:t>
      </w:r>
    </w:p>
    <w:p w:rsidR="00E83C73" w:rsidRDefault="00E83C73">
      <w:pPr>
        <w:ind w:firstLine="54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Доходы от продажи земельных участков поступило  районный бюджет в 2021 году 4 095,2 тыс. рублей. Снижение поступлений  по сравнению с 2020 годом составило 10 961,3 тыс. рублей, в связи с тем, что в 2020 году продано три крупных земельных участка: ООО "Фортуна - 3" - 3784,6 тыс. руб., ООО "Дракон"Рт - 5295 тыс. руб., ООО "Малтатвуд" - 2960,4 тыс. руб.</w:t>
      </w:r>
    </w:p>
    <w:p w:rsidR="00E83C73" w:rsidRDefault="00E83C73">
      <w:pPr>
        <w:widowControl/>
        <w:spacing w:after="120"/>
        <w:ind w:firstLine="53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В 2021 году  поступило  штрафов, санкций, возмещений ущерба 10758,4  тыс. рублей. Относительно 2020 года рост поступлений  составил 4 949,6 тыс. рублей. Увеличение поступлений в 2021 году связано с ростом поступлений по следующим платежам: по искам о возмещении вреда, причиненного окружающей среде - на 4547,9 тыс. руб, по административным штрафам об административных правонарушениях в области охраны окружающей среды и природопользования - на 1212,9 тыс. руб. </w:t>
      </w: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 w:rsidP="009D5B15">
      <w:pPr>
        <w:jc w:val="both"/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E83C73" w:rsidRDefault="00E83C73">
      <w:pPr>
        <w:rPr>
          <w:u w:color="FF0000"/>
        </w:rPr>
      </w:pPr>
    </w:p>
    <w:p w:rsidR="00E83C73" w:rsidRDefault="00E83C73">
      <w:pPr>
        <w:ind w:left="80" w:firstLine="880"/>
        <w:jc w:val="both"/>
        <w:rPr>
          <w:rFonts w:ascii="Arial CYR" w:hAnsi="Arial CYR" w:cs="Arial CYR"/>
          <w:sz w:val="20"/>
          <w:szCs w:val="20"/>
          <w:u w:color="FF0000"/>
        </w:rPr>
      </w:pPr>
      <w:r>
        <w:rPr>
          <w:color w:val="000000"/>
          <w:sz w:val="28"/>
          <w:szCs w:val="28"/>
          <w:u w:color="FF0000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 составляет "0" процентов.</w:t>
      </w:r>
    </w:p>
    <w:p w:rsidR="00E83C73" w:rsidRDefault="00E83C73">
      <w:pPr>
        <w:ind w:left="80" w:firstLine="88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По состоянию на 31.12.2021 на территории района отсутствуют муниципальные организации, находящиеся в стадии банкротства.</w:t>
      </w: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 w:rsidP="009D5B15">
      <w:pPr>
        <w:jc w:val="both"/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E83C73" w:rsidRDefault="00E83C73" w:rsidP="009D5B15">
      <w:pPr>
        <w:jc w:val="both"/>
        <w:rPr>
          <w:u w:color="FF0000"/>
        </w:rPr>
      </w:pPr>
    </w:p>
    <w:p w:rsidR="00E83C73" w:rsidRDefault="00E83C73">
      <w:pPr>
        <w:ind w:left="140" w:firstLine="720"/>
        <w:jc w:val="both"/>
        <w:rPr>
          <w:sz w:val="16"/>
          <w:szCs w:val="16"/>
          <w:u w:color="FF0000"/>
        </w:rPr>
      </w:pPr>
      <w:r>
        <w:rPr>
          <w:color w:val="000000"/>
          <w:sz w:val="28"/>
          <w:szCs w:val="28"/>
          <w:u w:color="FF0000"/>
        </w:rPr>
        <w:t>Объемов не завершенного в установленные сроки строительства, осуществляемого за счет средств бюджета муниципального района, нет.</w:t>
      </w:r>
    </w:p>
    <w:p w:rsidR="00E83C73" w:rsidRDefault="00E83C73">
      <w:pPr>
        <w:rPr>
          <w:rFonts w:ascii="Arial CYR" w:hAnsi="Arial CYR" w:cs="Arial CYR"/>
          <w:sz w:val="16"/>
          <w:szCs w:val="16"/>
          <w:u w:color="FF0000"/>
        </w:rPr>
      </w:pP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 w:rsidP="009D5B15">
      <w:pPr>
        <w:jc w:val="both"/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E83C73" w:rsidRDefault="00E83C73" w:rsidP="009D5B15">
      <w:pPr>
        <w:jc w:val="both"/>
        <w:rPr>
          <w:u w:color="FF0000"/>
        </w:rPr>
      </w:pPr>
    </w:p>
    <w:p w:rsidR="00E83C73" w:rsidRDefault="00E83C73">
      <w:pPr>
        <w:ind w:left="140" w:firstLine="820"/>
        <w:jc w:val="both"/>
        <w:rPr>
          <w:color w:val="000000"/>
          <w:sz w:val="28"/>
          <w:szCs w:val="28"/>
          <w:u w:color="FF0000"/>
        </w:rPr>
      </w:pPr>
      <w:r>
        <w:rPr>
          <w:color w:val="000000"/>
          <w:sz w:val="28"/>
          <w:szCs w:val="28"/>
          <w:u w:color="FF0000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составляет "0".</w:t>
      </w: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 w:rsidP="009D5B15">
      <w:pPr>
        <w:jc w:val="both"/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E83C73" w:rsidRDefault="00E83C73" w:rsidP="009D5B15">
      <w:pPr>
        <w:jc w:val="both"/>
        <w:rPr>
          <w:u w:color="FF0000"/>
        </w:rPr>
      </w:pPr>
    </w:p>
    <w:p w:rsidR="00E83C73" w:rsidRDefault="00E83C73">
      <w:pPr>
        <w:ind w:left="120" w:firstLine="780"/>
        <w:jc w:val="both"/>
        <w:rPr>
          <w:rFonts w:ascii="Arial CYR" w:hAnsi="Arial CYR" w:cs="Arial CYR"/>
          <w:sz w:val="16"/>
          <w:szCs w:val="16"/>
          <w:highlight w:val="white"/>
          <w:u w:color="FF0000"/>
        </w:rPr>
      </w:pPr>
      <w:r>
        <w:rPr>
          <w:sz w:val="28"/>
          <w:szCs w:val="28"/>
          <w:highlight w:val="white"/>
          <w:u w:color="FF0000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2020 году составил 3852,86 рублей, в 2021 году  4197,67 рублей, по сравнению с 2020 годом произошло увеличение  показателя  на 8,21 %. Расходы на одного жителя муниципального образования к 2022 году составят 4691,95 рублей.</w:t>
      </w: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 w:rsidP="009D5B15">
      <w:pPr>
        <w:jc w:val="both"/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E83C73" w:rsidRDefault="00E83C73" w:rsidP="009D5B15">
      <w:pPr>
        <w:jc w:val="both"/>
        <w:rPr>
          <w:u w:color="FF0000"/>
        </w:rPr>
      </w:pPr>
    </w:p>
    <w:p w:rsidR="00E83C73" w:rsidRDefault="00E83C73">
      <w:pPr>
        <w:widowControl/>
        <w:ind w:firstLine="709"/>
        <w:jc w:val="both"/>
        <w:rPr>
          <w:color w:val="000000"/>
          <w:sz w:val="28"/>
          <w:szCs w:val="28"/>
          <w:u w:color="FF0000"/>
        </w:rPr>
      </w:pPr>
      <w:r>
        <w:rPr>
          <w:color w:val="000000"/>
          <w:sz w:val="28"/>
          <w:szCs w:val="28"/>
          <w:u w:color="FF0000"/>
        </w:rPr>
        <w:t xml:space="preserve">На территории Богучанского района имеется утвержденная схема территориального планирования муниципального района. </w:t>
      </w:r>
    </w:p>
    <w:p w:rsidR="00E83C73" w:rsidRDefault="00E83C73">
      <w:pPr>
        <w:widowControl/>
        <w:ind w:firstLine="709"/>
        <w:rPr>
          <w:color w:val="000000"/>
          <w:sz w:val="28"/>
          <w:szCs w:val="28"/>
          <w:u w:color="FF0000"/>
        </w:rPr>
      </w:pPr>
      <w:r>
        <w:rPr>
          <w:color w:val="000000"/>
          <w:sz w:val="28"/>
          <w:szCs w:val="28"/>
          <w:u w:color="FF0000"/>
        </w:rPr>
        <w:t>В настоящее время проводится актуализация схемы территориального планирования Богучанского района Красноярского края.</w:t>
      </w:r>
    </w:p>
    <w:p w:rsidR="00E83C73" w:rsidRDefault="00E83C73">
      <w:pPr>
        <w:rPr>
          <w:rFonts w:ascii="Arial CYR" w:hAnsi="Arial CYR" w:cs="Arial CYR"/>
          <w:sz w:val="20"/>
          <w:szCs w:val="20"/>
          <w:u w:color="FF0000"/>
        </w:rPr>
      </w:pPr>
    </w:p>
    <w:p w:rsidR="00E83C73" w:rsidRDefault="00E83C73">
      <w:pPr>
        <w:rPr>
          <w:rFonts w:ascii="Arial CYR" w:hAnsi="Arial CYR" w:cs="Arial CYR"/>
          <w:sz w:val="20"/>
          <w:szCs w:val="20"/>
          <w:u w:color="FF0000"/>
        </w:rPr>
      </w:pP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 w:rsidP="009D5B15">
      <w:pPr>
        <w:jc w:val="both"/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E83C73" w:rsidRDefault="00E83C73" w:rsidP="009D5B15">
      <w:pPr>
        <w:jc w:val="both"/>
        <w:rPr>
          <w:u w:color="FF0000"/>
        </w:rPr>
      </w:pPr>
    </w:p>
    <w:p w:rsidR="009D5B15" w:rsidRPr="006333A1" w:rsidRDefault="009D5B15" w:rsidP="009136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3A1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удовлетворенности населения деятельностью органов МСУ Богучанского района за 2021 год составил 26,40% показатель увеличился  по сравнению с 2020 годом – 26,20% на 0,76 %.</w:t>
      </w:r>
    </w:p>
    <w:p w:rsidR="00E83C73" w:rsidRDefault="00E83C73" w:rsidP="009D5B15">
      <w:pPr>
        <w:jc w:val="both"/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38. Среднегодовая численность постоянного населения</w:t>
      </w:r>
    </w:p>
    <w:p w:rsidR="00E83C73" w:rsidRDefault="00E83C73">
      <w:pPr>
        <w:rPr>
          <w:u w:color="FF0000"/>
        </w:rPr>
      </w:pP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  <w:u w:color="FF0000"/>
        </w:rPr>
      </w:pPr>
      <w:r>
        <w:rPr>
          <w:sz w:val="28"/>
          <w:szCs w:val="28"/>
          <w:highlight w:val="white"/>
          <w:u w:color="FF0000"/>
        </w:rPr>
        <w:t xml:space="preserve">Среднегодовая численность постоянного населения в 2021 году составила 44870 тыс. человек,  показатель снизился по сравнению с 2020 годом  на 0,85 %.  </w:t>
      </w:r>
    </w:p>
    <w:tbl>
      <w:tblPr>
        <w:tblW w:w="0" w:type="auto"/>
        <w:tblInd w:w="93" w:type="dxa"/>
        <w:tblLayout w:type="fixed"/>
        <w:tblLook w:val="0000"/>
      </w:tblPr>
      <w:tblGrid>
        <w:gridCol w:w="612"/>
        <w:gridCol w:w="2567"/>
        <w:gridCol w:w="809"/>
        <w:gridCol w:w="809"/>
        <w:gridCol w:w="969"/>
        <w:gridCol w:w="1064"/>
        <w:gridCol w:w="1064"/>
        <w:gridCol w:w="959"/>
        <w:gridCol w:w="959"/>
      </w:tblGrid>
      <w:tr w:rsidR="00E83C7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8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563C1"/>
                <w:sz w:val="22"/>
                <w:szCs w:val="22"/>
                <w:u w:val="single"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Расчетная таблица к показателю 38. Среднегодовая численность постоянного населения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sz w:val="22"/>
                <w:szCs w:val="22"/>
                <w:u w:color="FF0000"/>
              </w:rPr>
            </w:pPr>
            <w:r>
              <w:rPr>
                <w:sz w:val="22"/>
                <w:szCs w:val="22"/>
                <w:u w:color="FF0000"/>
              </w:rPr>
              <w:t>№ п/п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sz w:val="22"/>
                <w:szCs w:val="22"/>
                <w:u w:color="FF0000"/>
              </w:rPr>
            </w:pPr>
            <w:r>
              <w:rPr>
                <w:sz w:val="22"/>
                <w:szCs w:val="22"/>
                <w:u w:color="FF0000"/>
              </w:rPr>
              <w:t>Наименование показателя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Значения показателя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sz w:val="22"/>
                <w:szCs w:val="22"/>
                <w:u w:color="FF000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sz w:val="22"/>
                <w:szCs w:val="22"/>
                <w:u w:color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2020 факт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2021 факт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2022 оценка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2023 прогноз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2024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2025</w:t>
            </w:r>
            <w:r>
              <w:rPr>
                <w:color w:val="000000"/>
                <w:sz w:val="22"/>
                <w:szCs w:val="22"/>
                <w:u w:color="FF0000"/>
              </w:rPr>
              <w:br/>
              <w:t>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2026</w:t>
            </w:r>
            <w:r>
              <w:rPr>
                <w:color w:val="000000"/>
                <w:sz w:val="22"/>
                <w:szCs w:val="22"/>
                <w:u w:color="FF0000"/>
              </w:rPr>
              <w:br/>
              <w:t>прогноз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38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Среднегодовая численность постоянного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45254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44870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44440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43950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43509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43122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 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38.1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Численность населения на начало года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45468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45039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44701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44178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43721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43297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42946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38.2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Численность родившихся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428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433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421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417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412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408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393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38.3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Численность умерших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612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678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672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658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652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649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635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38.4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Естественный прирост (+),убыль(-)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-184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-245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-251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-241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-241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-242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38.5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Численность прибывших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2145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2379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2189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2235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2264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2329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2 326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38.6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Численность убывших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2390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2472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2461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2451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2448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2439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C73" w:rsidRDefault="00E83C73">
            <w:pPr>
              <w:widowControl/>
              <w:jc w:val="center"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2 435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38.7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rPr>
                <w:sz w:val="20"/>
                <w:szCs w:val="20"/>
                <w:u w:color="FF0000"/>
              </w:rPr>
            </w:pPr>
            <w:r>
              <w:rPr>
                <w:sz w:val="20"/>
                <w:szCs w:val="20"/>
                <w:u w:color="FF0000"/>
              </w:rPr>
              <w:t>Миграционный прирост(+),убыль(-)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-245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-272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-216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-184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sz w:val="20"/>
                <w:szCs w:val="20"/>
                <w:u w:color="FF0000"/>
              </w:rPr>
            </w:pPr>
            <w:r>
              <w:rPr>
                <w:b/>
                <w:bCs/>
                <w:sz w:val="20"/>
                <w:szCs w:val="20"/>
                <w:u w:color="FF0000"/>
              </w:rPr>
              <w:t>-109</w:t>
            </w:r>
          </w:p>
        </w:tc>
      </w:tr>
    </w:tbl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  <w:u w:color="FF0000"/>
        </w:rPr>
      </w:pPr>
    </w:p>
    <w:p w:rsidR="00E83C73" w:rsidRDefault="00E83C73">
      <w:pPr>
        <w:widowControl/>
        <w:jc w:val="both"/>
        <w:rPr>
          <w:sz w:val="28"/>
          <w:szCs w:val="28"/>
          <w:highlight w:val="white"/>
          <w:u w:color="FF0000"/>
        </w:rPr>
      </w:pP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  <w:u w:color="FF0000"/>
        </w:rPr>
      </w:pPr>
      <w:r>
        <w:rPr>
          <w:sz w:val="28"/>
          <w:szCs w:val="28"/>
          <w:highlight w:val="white"/>
          <w:u w:color="FF0000"/>
        </w:rPr>
        <w:t>Миграционный прирост составил (-) 93 человека: в отчетном году прибыло 2379 человек, выбыло 2472 человек. Показатель смертности превысил над рождаемостью (-) 245 человек: родилось 433 человека, умерло 678 человек.               К 2023 году среднегодовая численность постоянного населения планируется 43950  человек.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white"/>
          <w:u w:color="FF0000"/>
        </w:rPr>
      </w:pP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IX. Энергосбережение и повышение энергетической эффективности</w:t>
      </w:r>
    </w:p>
    <w:p w:rsidR="00E83C73" w:rsidRDefault="00E83C73">
      <w:pPr>
        <w:rPr>
          <w:u w:color="FF0000"/>
        </w:rPr>
      </w:pP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E83C73" w:rsidRDefault="00E83C73">
      <w:pPr>
        <w:rPr>
          <w:u w:color="FF0000"/>
        </w:rPr>
      </w:pPr>
    </w:p>
    <w:p w:rsidR="00E83C73" w:rsidRDefault="00E83C73">
      <w:pPr>
        <w:widowControl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Удельная величина потребления энергетических ресурсов в многоквартирных домах составляет:</w:t>
      </w:r>
    </w:p>
    <w:p w:rsidR="00E83C73" w:rsidRDefault="00E83C73">
      <w:pPr>
        <w:widowControl/>
        <w:ind w:firstLine="708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показатель «39.1 электрическая энергия» составил 1019,75 кВт.ч на 1 проживающего что, на 0,65% ниже уровня потребления электрической энергии в 2020 году. Снижение показателя связано с  переходом населения на экономичное отопление частных домов с электрического отопления на котлы с пиллетами, дровами . К 2024 году данный показатель снизится до  1009,22 кВт.ч на 1 проживающего, за счет проведения мероприятий по энергосбережению; </w:t>
      </w:r>
    </w:p>
    <w:p w:rsidR="00E83C73" w:rsidRDefault="00E83C73">
      <w:pPr>
        <w:widowControl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показатель «39.2 тепловая энергия» составил 0,33 Гкал на 1 кв. метр общей площади, при показателе за  2020 год 0,33 Гкал на 1 кв. метр общей площади. К 2024 году данный показатель не изменится и составит  до 0,33  Гкал на 1 кв. метр общей площади жилья; </w:t>
      </w:r>
    </w:p>
    <w:p w:rsidR="00E83C73" w:rsidRDefault="00E83C73">
      <w:pPr>
        <w:widowControl/>
        <w:tabs>
          <w:tab w:val="left" w:pos="1867"/>
        </w:tabs>
        <w:ind w:left="20" w:firstLine="70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показатель «39.3 горячая вода» составил  1,2 куб. метров на 1 проживающего, при показателе 2020 года 1,2 Гкал на 1 кв. метр общей площади. К 2024 году показатель не изменится и составит   до  1,2  куб. метров на 1 проживающего;</w:t>
      </w:r>
    </w:p>
    <w:p w:rsidR="00E83C73" w:rsidRDefault="00E83C73">
      <w:pPr>
        <w:widowControl/>
        <w:tabs>
          <w:tab w:val="left" w:pos="1867"/>
        </w:tabs>
        <w:ind w:left="20" w:firstLine="70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показатель «39.4 холодная вода» составил  12,26 куб. метров на 1 проживающего, по сравнению с 2020 годом снизился  на 8,35 %. К 2022 году показатель не изменится, в связи с дальнейшим проведением мероприятий по установке приборов учета ХВС.</w:t>
      </w:r>
    </w:p>
    <w:p w:rsidR="00E83C73" w:rsidRDefault="00E83C73">
      <w:pPr>
        <w:rPr>
          <w:sz w:val="16"/>
          <w:szCs w:val="16"/>
          <w:u w:color="FF0000"/>
        </w:rPr>
      </w:pPr>
      <w:r>
        <w:rPr>
          <w:sz w:val="16"/>
          <w:szCs w:val="16"/>
          <w:u w:color="FF0000"/>
        </w:rPr>
        <w:t xml:space="preserve"> </w:t>
      </w:r>
    </w:p>
    <w:p w:rsidR="00E83C73" w:rsidRDefault="00E83C73">
      <w:pPr>
        <w:widowControl/>
        <w:rPr>
          <w:rFonts w:ascii="Calibri" w:hAnsi="Calibri" w:cs="Calibri"/>
          <w:color w:val="000000"/>
          <w:sz w:val="22"/>
          <w:szCs w:val="22"/>
          <w:u w:color="FF0000"/>
        </w:rPr>
      </w:pPr>
    </w:p>
    <w:p w:rsidR="00E83C73" w:rsidRDefault="00E83C73">
      <w:pPr>
        <w:widowControl/>
        <w:rPr>
          <w:rFonts w:ascii="Calibri" w:hAnsi="Calibri" w:cs="Calibri"/>
          <w:color w:val="000000"/>
          <w:sz w:val="22"/>
          <w:szCs w:val="22"/>
          <w:u w:color="FF000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4"/>
        <w:gridCol w:w="1276"/>
        <w:gridCol w:w="1275"/>
        <w:gridCol w:w="1276"/>
        <w:gridCol w:w="1276"/>
        <w:gridCol w:w="1276"/>
      </w:tblGrid>
      <w:tr w:rsidR="00E83C7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5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39. Удельная величина потребления энергетических ресурсов (электрическая и тепловая энергия, вода, природный газ) в многоквартирных домах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Значения показателя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2020 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2021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2022</w:t>
            </w:r>
          </w:p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2023</w:t>
            </w:r>
          </w:p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2024</w:t>
            </w:r>
          </w:p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прогноз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39.1. Потребление электрической энергии, кВт·ч на 1 проживающего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1026,38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1 019,75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1 009,22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1 009,22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1 009,22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объем потребления электрической энергии в многоквартирных домах, кВтч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5 898 614,24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5 847 246,5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5 800 000,00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5 800 000,00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5 800 000,00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5 747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5 734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5 747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5 747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5 747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39.2. Потребление тепловой энергии, Гкал на 1 кв. метр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0,33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объем потребленной тепловой энергии в многоквартирных домах,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80 800,00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80 800,00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80 000,00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общая площадь жилых помещений в многоквартирных домах, 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241 480,00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241 480,00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241 480,00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241 480,00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241 480,00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39.3. Потребление горячей воды, куб. метров на 1 проживающего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1,20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объем потребления горячей воды в многоквартирных домах,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10 432,50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10 342,8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10 432,50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10 432,50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10 432,50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8 660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8 619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8 660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8 660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8 660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39.4. Потребление холодной воды, куб. метров на 1 проживающего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14,51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12,26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объем потребления холодной воды в многоквартирных домах,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241 558,00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203 601,82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203 601,82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203 601,82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203 601,82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16 648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16 607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16 607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16 607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16 607</w:t>
            </w:r>
          </w:p>
        </w:tc>
      </w:tr>
    </w:tbl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 w:rsidP="000A22B0">
      <w:pPr>
        <w:jc w:val="both"/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E83C73" w:rsidRDefault="00E83C73">
      <w:pPr>
        <w:rPr>
          <w:u w:color="FF0000"/>
        </w:rPr>
      </w:pPr>
    </w:p>
    <w:p w:rsidR="00E83C73" w:rsidRDefault="00E83C73">
      <w:pPr>
        <w:widowControl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Удельная величина потребления энергетических ресурсов муниципальными бюджетными учреждениями составляет:</w:t>
      </w:r>
    </w:p>
    <w:p w:rsidR="00E83C73" w:rsidRDefault="00E83C73">
      <w:pPr>
        <w:widowControl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показатель  «40.1 электрическая энергия» - Объем потребленной электроэнергии муниципальными бюджетными учреждениями в 2021 году составил 3272818 кВт.ч (данные представлены муниципальными бюджетными учреждениями), среднегодовая численность населения в 2021 году  44870 чел. Удельная величина потребления электроэнергии муниципальными бюджетными учреждениями составила в 2021 году 72,94 кВт.ч на 1 человека населения, в 2020 году удельная величина потребления электроэнергии на 1 человека населения составляла 73,63 кВт.ч, с учетом объема потребленной электроэнергии муниципальными бюджетными учреждениями 3332006,00 кВт.ч. при среднегодовой численность населения 45254 чел. По сравнению с 2020 годом показатель уменьшился  на  0,95 %. К 2024 году удельная величина потребления электроэнергии муниципальными бюджетными учреждениями составит   72,94 кВт.ч. на 1 человека населения;</w:t>
      </w:r>
    </w:p>
    <w:p w:rsidR="00E83C73" w:rsidRDefault="00E83C73">
      <w:pPr>
        <w:widowControl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показатель  «40.2 тепловая энергия» - Объем потребленной тепловой энергии муниципальными бюджетными учреждениями в 2021 году составил 23290,95 Гкал (данные представлены муниципальными бюджетными учреждениями), общая площадь муниципальных бюджетных учреждений в 2021 году -  125897 кв. метров. Удельная величина потребления тепловой энергии муниципальными бюджетными учреждениями составила в 2021 году 0,19 (0,185) Гкал на кв. метров, в 2020 году - 0,18 Гкал на кв. метров.  К 2022 году удельная величина потребления тепловой энергии муниципальными бюджетными учреждениями составит 0,185 Гкал на 1 кв. метр общей площади; </w:t>
      </w:r>
    </w:p>
    <w:p w:rsidR="00E83C73" w:rsidRDefault="00E83C73">
      <w:pPr>
        <w:widowControl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показатель  «40.3 горячая вода» - Объем потребленной горячей воды муниципальными бюджетными учреждениями в 2022 году составил 1483,05 куб. метров (данные представлены муниципальными бюджетными учреждениями), среднегодовая численность населения в 2020 году  45254 чел. Удельная величина потребления горячей воды муниципальными бюджетными учреждениями составила в 2020 году 0,03 куб. метров на 1 человека населения. </w:t>
      </w:r>
    </w:p>
    <w:p w:rsidR="00E83C73" w:rsidRDefault="00E83C73">
      <w:pPr>
        <w:widowControl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В 2021 году удельная величина потребления горячей воды на 1 человека населения составляла 0,03(0,031) куб. метров, с учетом объема потребленной горячей воды муниципальными бюджетными учреждениями 1390,97 куб. метров, при среднегодовой численность населения 44870 чел. По сравнению с 2020 годом показатель  существенно не увеличился. К 2024 году удельная величина потребления горячей воды муниципальными бюджетными учреждениями составит  0,03 куб. метров на  1 человека населения; </w:t>
      </w:r>
    </w:p>
    <w:p w:rsidR="00E83C73" w:rsidRDefault="00E83C73">
      <w:pPr>
        <w:widowControl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показатель  «40.4 холодная вода» - Объем потребленной холодной воды муниципальными бюджетными учреждениями в 2020 году составил 30989,38 куб. метров (данные представлены муниципальными бюджетными учреждениями), среднегодовая численность населения в 2020 году  45253 чел. Удельная величина потребления холодной  воды муниципальными бюджетными учреждениями составила в 2020 году 0,68 куб. метров на 1 человека населения. В 2021 году удельная величина потребления холодной воды на 1 человека населения составляла 0,64 куб. метров, с учетом объема потребленной холодной воды муниципальными бюджетными учреждениями 28716,8 куб. метров, при среднегодовой численность населения 44 870 человек. По сравнению с 2020 годом показатель снизился на 6,25 %, в связи с проведением бюджетными учреждениями малозатратных мероприятий по экономии ресурсов (замена сантехнических приборов, смесителей, проведение ревизии сливных бачков).  К 2024 году удельная величина потребления холодной воды муниципальными бюджетными учреждениями составит  0,64 куб. метров на 1 человека населения.</w:t>
      </w:r>
    </w:p>
    <w:p w:rsidR="00E83C73" w:rsidRDefault="00E83C73">
      <w:pPr>
        <w:widowControl/>
        <w:ind w:firstLine="709"/>
        <w:jc w:val="both"/>
        <w:rPr>
          <w:sz w:val="28"/>
          <w:szCs w:val="28"/>
          <w:highlight w:val="yellow"/>
          <w:u w:color="FF000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4"/>
        <w:gridCol w:w="1276"/>
        <w:gridCol w:w="1275"/>
        <w:gridCol w:w="1276"/>
        <w:gridCol w:w="1276"/>
        <w:gridCol w:w="1276"/>
      </w:tblGrid>
      <w:tr w:rsidR="00E83C7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5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Значения показателя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2020 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2021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2022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2023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2024 прогноз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404.1. Потребление электрической энергии, кВт·ч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73,63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72,94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72,94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72,94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72,94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объем потребленной (израсходованной) электрической энергии муниципальными учреждениями, кВтч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3 332 006,00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3 272 817,8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3 272 817,8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3 272 817,8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3 272 817,8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среднегодовая</w:t>
            </w:r>
            <w:r>
              <w:rPr>
                <w:color w:val="000000"/>
                <w:sz w:val="22"/>
                <w:szCs w:val="22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45 254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0,185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22 557,29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23 290,95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23 290,95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23 290,95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23 290,95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общая площадь муниципальных учреждений,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125 897,00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125 897,00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125 897,00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125 897,00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125 897,00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40.3. Потребление горячей воды,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0,031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объем потребленной (израсходованной) горячей воды муниципальными учреждениями,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1 483,05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1 390,97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1 390,97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1 390,97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1 390,97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среднегодовая</w:t>
            </w:r>
            <w:r>
              <w:rPr>
                <w:color w:val="000000"/>
                <w:sz w:val="22"/>
                <w:szCs w:val="22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45 253,50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b/>
                <w:bCs/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40.4. Потребление холодной воды,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b/>
                <w:bCs/>
                <w:color w:val="000000"/>
                <w:sz w:val="20"/>
                <w:szCs w:val="20"/>
                <w:u w:color="FF0000"/>
              </w:rPr>
              <w:t>0,64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color w:val="000000"/>
                <w:sz w:val="22"/>
                <w:szCs w:val="22"/>
                <w:u w:color="FF0000"/>
              </w:rPr>
              <w:t>объем потребленной (израсходованной) холодной воды муниципальными учреждениями,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30 989,38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28 716,8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28 716,8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28 716,8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28 716,8</w:t>
            </w:r>
          </w:p>
        </w:tc>
      </w:tr>
      <w:tr w:rsidR="00E83C7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rPr>
                <w:color w:val="000000"/>
                <w:sz w:val="22"/>
                <w:szCs w:val="22"/>
                <w:u w:color="FF0000"/>
              </w:rPr>
            </w:pPr>
            <w:r>
              <w:rPr>
                <w:b/>
                <w:bCs/>
                <w:color w:val="000000"/>
                <w:sz w:val="22"/>
                <w:szCs w:val="22"/>
                <w:u w:color="FF0000"/>
              </w:rPr>
              <w:t>среднегодовая</w:t>
            </w:r>
            <w:r>
              <w:rPr>
                <w:color w:val="000000"/>
                <w:sz w:val="22"/>
                <w:szCs w:val="22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45 253,50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C73" w:rsidRDefault="00E83C73">
            <w:pPr>
              <w:widowControl/>
              <w:jc w:val="center"/>
              <w:rPr>
                <w:color w:val="000000"/>
                <w:sz w:val="20"/>
                <w:szCs w:val="20"/>
                <w:u w:color="FF0000"/>
              </w:rPr>
            </w:pPr>
            <w:r>
              <w:rPr>
                <w:color w:val="000000"/>
                <w:sz w:val="20"/>
                <w:szCs w:val="20"/>
                <w:u w:color="FF0000"/>
              </w:rPr>
              <w:t>44 870</w:t>
            </w:r>
          </w:p>
        </w:tc>
      </w:tr>
    </w:tbl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>X. Независимая оценка</w:t>
      </w:r>
    </w:p>
    <w:p w:rsidR="00E83C73" w:rsidRDefault="00E83C73">
      <w:pPr>
        <w:rPr>
          <w:u w:color="FF0000"/>
        </w:rPr>
      </w:pPr>
    </w:p>
    <w:p w:rsidR="00E83C73" w:rsidRDefault="00E83C73">
      <w:pPr>
        <w:rPr>
          <w:u w:color="FF0000"/>
        </w:rPr>
      </w:pPr>
    </w:p>
    <w:p w:rsidR="00E83C73" w:rsidRDefault="00E83C73">
      <w:pPr>
        <w:rPr>
          <w:color w:val="000000"/>
          <w:sz w:val="12"/>
          <w:szCs w:val="12"/>
          <w:u w:color="FF0000"/>
        </w:rPr>
      </w:pPr>
    </w:p>
    <w:p w:rsidR="00E83C73" w:rsidRDefault="00E83C73" w:rsidP="0091362B">
      <w:pPr>
        <w:jc w:val="both"/>
        <w:rPr>
          <w:color w:val="000000"/>
          <w:sz w:val="12"/>
          <w:szCs w:val="12"/>
          <w:u w:color="FF0000"/>
        </w:rPr>
      </w:pPr>
      <w:r>
        <w:rPr>
          <w:b/>
          <w:bCs/>
          <w:color w:val="000000"/>
          <w:sz w:val="28"/>
          <w:szCs w:val="28"/>
          <w:u w:color="FF0000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8A2B5F">
        <w:rPr>
          <w:rFonts w:ascii="Times New Roman" w:hAnsi="Times New Roman" w:cs="Times New Roman"/>
          <w:b/>
          <w:bCs/>
          <w:color w:val="000000"/>
          <w:sz w:val="28"/>
          <w:szCs w:val="28"/>
          <w:u w:color="FF0000"/>
        </w:rPr>
        <w:t>«</w:t>
      </w:r>
      <w:r>
        <w:rPr>
          <w:b/>
          <w:bCs/>
          <w:color w:val="000000"/>
          <w:sz w:val="28"/>
          <w:szCs w:val="28"/>
          <w:u w:color="FF0000"/>
        </w:rPr>
        <w:t>Интернет</w:t>
      </w:r>
      <w:r w:rsidRPr="008A2B5F">
        <w:rPr>
          <w:rFonts w:ascii="Times New Roman" w:hAnsi="Times New Roman" w:cs="Times New Roman"/>
          <w:b/>
          <w:bCs/>
          <w:color w:val="000000"/>
          <w:sz w:val="28"/>
          <w:szCs w:val="28"/>
          <w:u w:color="FF0000"/>
        </w:rPr>
        <w:t>») (</w:t>
      </w:r>
      <w:r>
        <w:rPr>
          <w:b/>
          <w:bCs/>
          <w:color w:val="000000"/>
          <w:sz w:val="28"/>
          <w:szCs w:val="28"/>
          <w:u w:color="FF0000"/>
        </w:rPr>
        <w:t>при наличии)</w:t>
      </w:r>
    </w:p>
    <w:p w:rsidR="00E83C73" w:rsidRDefault="00E83C73">
      <w:pPr>
        <w:rPr>
          <w:u w:color="FF0000"/>
        </w:rPr>
      </w:pPr>
    </w:p>
    <w:p w:rsidR="00E83C73" w:rsidRDefault="00E83C73">
      <w:pPr>
        <w:ind w:firstLine="72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Показатель формируется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31.05.2018 № 344н.</w:t>
      </w:r>
    </w:p>
    <w:p w:rsidR="00E83C73" w:rsidRDefault="00E83C73">
      <w:pPr>
        <w:ind w:firstLine="720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Так как муниципальные организации в сфере охраны здоровья, социального обслуживания, и иные организации, расположенные на территории муниципальных образований Красноярского края и оказывающие услуги в указанных сферах </w:t>
      </w:r>
      <w:r>
        <w:rPr>
          <w:b/>
          <w:bCs/>
          <w:sz w:val="28"/>
          <w:szCs w:val="28"/>
          <w:u w:color="FF0000"/>
        </w:rPr>
        <w:t>за счет бюджетных ассигнований бюджета Богучанского района Красноярского края</w:t>
      </w:r>
      <w:r>
        <w:rPr>
          <w:sz w:val="28"/>
          <w:szCs w:val="28"/>
          <w:u w:color="FF0000"/>
        </w:rPr>
        <w:t>, отсутствуют, показатель рассчитывается по организациям в сферах образования (осуществляющих деятельность по основным и дополнительным общеобразовательным программам), культуры и в целом по муниципальному образованию.</w:t>
      </w:r>
    </w:p>
    <w:p w:rsidR="00E83C73" w:rsidRDefault="00E83C73">
      <w:pPr>
        <w:widowControl/>
        <w:spacing w:before="100" w:after="100"/>
        <w:ind w:firstLine="709"/>
        <w:rPr>
          <w:b/>
          <w:bCs/>
          <w:sz w:val="28"/>
          <w:szCs w:val="28"/>
          <w:u w:color="FF0000"/>
        </w:rPr>
      </w:pPr>
    </w:p>
    <w:p w:rsidR="00E83C73" w:rsidRDefault="00E83C73">
      <w:pPr>
        <w:widowControl/>
        <w:spacing w:before="100" w:after="100"/>
        <w:ind w:firstLine="709"/>
        <w:rPr>
          <w:b/>
          <w:bCs/>
          <w:sz w:val="28"/>
          <w:szCs w:val="28"/>
          <w:u w:color="FF0000"/>
        </w:rPr>
      </w:pPr>
    </w:p>
    <w:p w:rsidR="00E83C73" w:rsidRDefault="00E83C73">
      <w:pPr>
        <w:widowControl/>
        <w:spacing w:before="100" w:after="100"/>
        <w:ind w:firstLine="709"/>
        <w:rPr>
          <w:b/>
          <w:bCs/>
          <w:sz w:val="28"/>
          <w:szCs w:val="28"/>
          <w:u w:color="FF0000"/>
        </w:rPr>
      </w:pPr>
      <w:r>
        <w:rPr>
          <w:b/>
          <w:bCs/>
          <w:sz w:val="28"/>
          <w:szCs w:val="28"/>
          <w:u w:color="FF0000"/>
        </w:rPr>
        <w:t xml:space="preserve">41.1 в сфере культуры </w:t>
      </w:r>
    </w:p>
    <w:p w:rsidR="00E83C73" w:rsidRDefault="00E83C73">
      <w:pPr>
        <w:widowControl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Независимая оценка качества об оказания услуг организациями в сфере культуры, осуществляющих деятельность  на территории Богучанского района,  проводилась  в  2019 году  средний балл   составил   78,24. </w:t>
      </w:r>
    </w:p>
    <w:p w:rsidR="00E83C73" w:rsidRDefault="00E83C73">
      <w:pPr>
        <w:widowControl/>
        <w:spacing w:line="276" w:lineRule="auto"/>
        <w:ind w:firstLine="709"/>
        <w:jc w:val="both"/>
        <w:rPr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Мероприятия по проведению независимой оценки  качества в  2021 году не проводились.</w:t>
      </w:r>
    </w:p>
    <w:p w:rsidR="00E83C73" w:rsidRDefault="00E83C73">
      <w:pPr>
        <w:widowControl/>
        <w:rPr>
          <w:u w:color="FF0000"/>
        </w:rPr>
      </w:pPr>
    </w:p>
    <w:p w:rsidR="00E83C73" w:rsidRDefault="00E83C73">
      <w:pPr>
        <w:widowControl/>
        <w:spacing w:before="100" w:after="100"/>
        <w:ind w:firstLine="709"/>
        <w:rPr>
          <w:b/>
          <w:bCs/>
          <w:sz w:val="28"/>
          <w:szCs w:val="28"/>
          <w:u w:color="FF0000"/>
        </w:rPr>
      </w:pPr>
    </w:p>
    <w:p w:rsidR="00E83C73" w:rsidRDefault="00E83C73">
      <w:pPr>
        <w:widowControl/>
        <w:spacing w:before="100" w:after="100"/>
        <w:ind w:firstLine="709"/>
        <w:rPr>
          <w:b/>
          <w:bCs/>
          <w:sz w:val="28"/>
          <w:szCs w:val="28"/>
          <w:u w:color="FF0000"/>
        </w:rPr>
      </w:pPr>
      <w:r>
        <w:rPr>
          <w:b/>
          <w:bCs/>
          <w:sz w:val="28"/>
          <w:szCs w:val="28"/>
          <w:u w:color="FF0000"/>
        </w:rPr>
        <w:t xml:space="preserve">41.2  в сфере образования  </w:t>
      </w:r>
    </w:p>
    <w:p w:rsidR="00E83C73" w:rsidRDefault="00E83C73">
      <w:pPr>
        <w:widowControl/>
        <w:spacing w:line="276" w:lineRule="auto"/>
        <w:ind w:firstLine="709"/>
        <w:jc w:val="both"/>
        <w:rPr>
          <w:rFonts w:ascii="Arial CYR" w:hAnsi="Arial CYR" w:cs="Arial CYR"/>
          <w:sz w:val="28"/>
          <w:szCs w:val="28"/>
          <w:u w:color="FF0000"/>
        </w:rPr>
      </w:pPr>
      <w:r>
        <w:rPr>
          <w:sz w:val="28"/>
          <w:szCs w:val="28"/>
          <w:u w:color="FF0000"/>
        </w:rPr>
        <w:t>За 2020  в отношении  56  организаций  проведена независимая  оценка качества  условий</w:t>
      </w:r>
      <w:r>
        <w:rPr>
          <w:b/>
          <w:bCs/>
          <w:sz w:val="28"/>
          <w:szCs w:val="28"/>
          <w:u w:color="FF0000"/>
        </w:rPr>
        <w:t xml:space="preserve"> </w:t>
      </w:r>
      <w:r>
        <w:rPr>
          <w:sz w:val="28"/>
          <w:szCs w:val="28"/>
          <w:u w:color="FF0000"/>
        </w:rPr>
        <w:t>оказания услуг организациями в сфере образования,  средний балл   составил  68,82.  В соответствии</w:t>
      </w:r>
      <w:r>
        <w:rPr>
          <w:b/>
          <w:bCs/>
          <w:sz w:val="28"/>
          <w:szCs w:val="28"/>
          <w:u w:color="FF0000"/>
        </w:rPr>
        <w:t xml:space="preserve"> </w:t>
      </w:r>
      <w:r>
        <w:rPr>
          <w:sz w:val="28"/>
          <w:szCs w:val="28"/>
          <w:u w:color="FF0000"/>
        </w:rPr>
        <w:t xml:space="preserve"> с  п. 6 статьи 92.2 Федерального закона от 29.12.2012 года № 273- ФЗ  «Об образовании в Российской Федерации»  независимая оценка  качества условий осуществления образовательной деятельности организациями проводится не чаще чем один раз в год  и не реже чем один раз в три года в отношении  одной и тоже организации</w:t>
      </w:r>
      <w:r>
        <w:rPr>
          <w:rFonts w:ascii="Arial CYR" w:hAnsi="Arial CYR" w:cs="Arial CYR"/>
          <w:sz w:val="28"/>
          <w:szCs w:val="28"/>
          <w:u w:color="FF0000"/>
        </w:rPr>
        <w:t xml:space="preserve">. </w:t>
      </w:r>
    </w:p>
    <w:p w:rsidR="00E83C73" w:rsidRDefault="00E83C73">
      <w:pPr>
        <w:widowControl/>
        <w:spacing w:line="276" w:lineRule="auto"/>
        <w:ind w:firstLine="709"/>
        <w:jc w:val="both"/>
        <w:rPr>
          <w:rFonts w:ascii="Arial CYR" w:hAnsi="Arial CYR" w:cs="Arial CYR"/>
          <w:sz w:val="28"/>
          <w:szCs w:val="28"/>
          <w:u w:color="FF0000"/>
        </w:rPr>
      </w:pPr>
      <w:r>
        <w:rPr>
          <w:rFonts w:ascii="Arial CYR" w:hAnsi="Arial CYR" w:cs="Arial CYR"/>
          <w:sz w:val="28"/>
          <w:szCs w:val="28"/>
          <w:u w:color="FF0000"/>
        </w:rPr>
        <w:t xml:space="preserve"> </w:t>
      </w:r>
      <w:r>
        <w:rPr>
          <w:sz w:val="28"/>
          <w:szCs w:val="28"/>
          <w:u w:color="FF0000"/>
        </w:rPr>
        <w:t>Мероприятия по проведению независимой оценки  качества в  2021 году не проводились.</w:t>
      </w:r>
    </w:p>
    <w:p w:rsidR="00E83C73" w:rsidRDefault="00E83C73">
      <w:pPr>
        <w:rPr>
          <w:u w:color="FF0000"/>
        </w:rPr>
      </w:pPr>
    </w:p>
    <w:p w:rsidR="0091362B" w:rsidRDefault="0091362B">
      <w:pPr>
        <w:rPr>
          <w:u w:color="FF0000"/>
        </w:rPr>
      </w:pPr>
    </w:p>
    <w:p w:rsidR="0091362B" w:rsidRDefault="0091362B">
      <w:pPr>
        <w:rPr>
          <w:u w:color="FF0000"/>
        </w:rPr>
      </w:pPr>
    </w:p>
    <w:p w:rsidR="0091362B" w:rsidRDefault="0091362B" w:rsidP="0091362B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X. </w:t>
      </w:r>
      <w:r>
        <w:rPr>
          <w:b/>
          <w:bCs/>
          <w:color w:val="000000"/>
          <w:sz w:val="28"/>
          <w:szCs w:val="28"/>
        </w:rPr>
        <w:t>Проблемы при формировании доклада</w:t>
      </w:r>
    </w:p>
    <w:p w:rsidR="0091362B" w:rsidRDefault="0091362B" w:rsidP="0091362B">
      <w:pPr>
        <w:widowControl/>
        <w:ind w:firstLine="709"/>
        <w:jc w:val="both"/>
        <w:rPr>
          <w:sz w:val="28"/>
          <w:szCs w:val="28"/>
        </w:rPr>
      </w:pPr>
    </w:p>
    <w:p w:rsidR="0091362B" w:rsidRDefault="0091362B" w:rsidP="0091362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 при формировании доклада нет.</w:t>
      </w:r>
    </w:p>
    <w:p w:rsidR="0091362B" w:rsidRDefault="0091362B" w:rsidP="0091362B">
      <w:pPr>
        <w:ind w:firstLine="709"/>
        <w:rPr>
          <w:sz w:val="16"/>
          <w:szCs w:val="16"/>
        </w:rPr>
      </w:pPr>
    </w:p>
    <w:p w:rsidR="0091362B" w:rsidRDefault="0091362B" w:rsidP="0091362B">
      <w:pPr>
        <w:rPr>
          <w:sz w:val="16"/>
          <w:szCs w:val="16"/>
        </w:rPr>
      </w:pPr>
    </w:p>
    <w:p w:rsidR="0091362B" w:rsidRDefault="0091362B" w:rsidP="0091362B">
      <w:pPr>
        <w:rPr>
          <w:sz w:val="16"/>
          <w:szCs w:val="16"/>
        </w:rPr>
      </w:pPr>
    </w:p>
    <w:p w:rsidR="0091362B" w:rsidRDefault="0091362B" w:rsidP="0091362B">
      <w:pPr>
        <w:rPr>
          <w:sz w:val="16"/>
          <w:szCs w:val="16"/>
        </w:rPr>
      </w:pPr>
    </w:p>
    <w:p w:rsidR="0091362B" w:rsidRDefault="0091362B" w:rsidP="0091362B">
      <w:pPr>
        <w:rPr>
          <w:sz w:val="16"/>
          <w:szCs w:val="16"/>
        </w:rPr>
      </w:pPr>
    </w:p>
    <w:p w:rsidR="0091362B" w:rsidRDefault="0091362B" w:rsidP="0091362B">
      <w:pPr>
        <w:rPr>
          <w:sz w:val="16"/>
          <w:szCs w:val="16"/>
        </w:rPr>
      </w:pPr>
    </w:p>
    <w:p w:rsidR="0091362B" w:rsidRDefault="0091362B" w:rsidP="0091362B">
      <w:pPr>
        <w:rPr>
          <w:sz w:val="16"/>
          <w:szCs w:val="16"/>
        </w:rPr>
      </w:pPr>
    </w:p>
    <w:p w:rsidR="0091362B" w:rsidRDefault="0091362B" w:rsidP="0091362B">
      <w:pPr>
        <w:rPr>
          <w:sz w:val="16"/>
          <w:szCs w:val="16"/>
        </w:rPr>
      </w:pPr>
    </w:p>
    <w:p w:rsidR="0091362B" w:rsidRDefault="0091362B" w:rsidP="0091362B">
      <w:pPr>
        <w:rPr>
          <w:sz w:val="16"/>
          <w:szCs w:val="16"/>
        </w:rPr>
      </w:pPr>
    </w:p>
    <w:p w:rsidR="000A22B0" w:rsidRDefault="000A22B0" w:rsidP="0091362B">
      <w:pPr>
        <w:rPr>
          <w:sz w:val="16"/>
          <w:szCs w:val="16"/>
        </w:rPr>
      </w:pPr>
    </w:p>
    <w:p w:rsidR="000A22B0" w:rsidRDefault="000A22B0" w:rsidP="0091362B">
      <w:pPr>
        <w:rPr>
          <w:sz w:val="16"/>
          <w:szCs w:val="16"/>
        </w:rPr>
      </w:pPr>
    </w:p>
    <w:p w:rsidR="000A22B0" w:rsidRDefault="000A22B0" w:rsidP="0091362B">
      <w:pPr>
        <w:rPr>
          <w:sz w:val="16"/>
          <w:szCs w:val="16"/>
        </w:rPr>
      </w:pPr>
    </w:p>
    <w:p w:rsidR="000A22B0" w:rsidRDefault="000A22B0" w:rsidP="0091362B">
      <w:pPr>
        <w:rPr>
          <w:sz w:val="16"/>
          <w:szCs w:val="16"/>
        </w:rPr>
      </w:pPr>
    </w:p>
    <w:p w:rsidR="000A22B0" w:rsidRDefault="000A22B0" w:rsidP="0091362B">
      <w:pPr>
        <w:rPr>
          <w:sz w:val="16"/>
          <w:szCs w:val="16"/>
        </w:rPr>
      </w:pPr>
    </w:p>
    <w:p w:rsidR="000A22B0" w:rsidRDefault="000A22B0" w:rsidP="0091362B">
      <w:pPr>
        <w:rPr>
          <w:sz w:val="16"/>
          <w:szCs w:val="16"/>
        </w:rPr>
      </w:pPr>
    </w:p>
    <w:p w:rsidR="000A22B0" w:rsidRDefault="000A22B0" w:rsidP="0091362B">
      <w:pPr>
        <w:rPr>
          <w:sz w:val="16"/>
          <w:szCs w:val="16"/>
        </w:rPr>
      </w:pPr>
    </w:p>
    <w:p w:rsidR="000A22B0" w:rsidRDefault="000A22B0" w:rsidP="0091362B">
      <w:pPr>
        <w:rPr>
          <w:sz w:val="16"/>
          <w:szCs w:val="16"/>
        </w:rPr>
      </w:pPr>
    </w:p>
    <w:p w:rsidR="000A22B0" w:rsidRDefault="000A22B0" w:rsidP="0091362B">
      <w:pPr>
        <w:rPr>
          <w:sz w:val="16"/>
          <w:szCs w:val="16"/>
        </w:rPr>
      </w:pPr>
    </w:p>
    <w:p w:rsidR="0091362B" w:rsidRDefault="0091362B" w:rsidP="0091362B">
      <w:pPr>
        <w:rPr>
          <w:sz w:val="16"/>
          <w:szCs w:val="16"/>
        </w:rPr>
      </w:pPr>
    </w:p>
    <w:p w:rsidR="0091362B" w:rsidRDefault="0091362B" w:rsidP="0091362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  <w:r w:rsidRPr="008F1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 Главы</w:t>
      </w:r>
      <w:r w:rsidRPr="008F13A0">
        <w:rPr>
          <w:rFonts w:ascii="Times New Roman" w:hAnsi="Times New Roman" w:cs="Times New Roman"/>
          <w:sz w:val="28"/>
          <w:szCs w:val="28"/>
        </w:rPr>
        <w:t xml:space="preserve"> Богучанского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В.М. Любим</w:t>
      </w: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0A22B0" w:rsidRDefault="000A22B0" w:rsidP="0091362B">
      <w:pPr>
        <w:rPr>
          <w:rFonts w:ascii="Times New Roman" w:hAnsi="Times New Roman" w:cs="Times New Roman"/>
          <w:sz w:val="28"/>
          <w:szCs w:val="28"/>
        </w:rPr>
      </w:pPr>
    </w:p>
    <w:p w:rsidR="000A22B0" w:rsidRDefault="000A22B0" w:rsidP="0091362B">
      <w:pPr>
        <w:rPr>
          <w:rFonts w:ascii="Times New Roman" w:hAnsi="Times New Roman" w:cs="Times New Roman"/>
          <w:sz w:val="28"/>
          <w:szCs w:val="28"/>
        </w:rPr>
      </w:pPr>
    </w:p>
    <w:p w:rsidR="000A22B0" w:rsidRDefault="000A22B0" w:rsidP="0091362B">
      <w:pPr>
        <w:rPr>
          <w:rFonts w:ascii="Times New Roman" w:hAnsi="Times New Roman" w:cs="Times New Roman"/>
          <w:sz w:val="28"/>
          <w:szCs w:val="28"/>
        </w:rPr>
      </w:pPr>
    </w:p>
    <w:p w:rsidR="000A22B0" w:rsidRDefault="000A22B0" w:rsidP="0091362B">
      <w:pPr>
        <w:rPr>
          <w:rFonts w:ascii="Times New Roman" w:hAnsi="Times New Roman" w:cs="Times New Roman"/>
          <w:sz w:val="28"/>
          <w:szCs w:val="28"/>
        </w:rPr>
      </w:pPr>
    </w:p>
    <w:p w:rsidR="000A22B0" w:rsidRDefault="000A22B0" w:rsidP="0091362B">
      <w:pPr>
        <w:rPr>
          <w:rFonts w:ascii="Times New Roman" w:hAnsi="Times New Roman" w:cs="Times New Roman"/>
          <w:sz w:val="28"/>
          <w:szCs w:val="28"/>
        </w:rPr>
      </w:pPr>
    </w:p>
    <w:p w:rsidR="000A22B0" w:rsidRDefault="000A22B0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Default="0091362B" w:rsidP="0091362B">
      <w:pPr>
        <w:rPr>
          <w:rFonts w:ascii="Times New Roman" w:hAnsi="Times New Roman" w:cs="Times New Roman"/>
          <w:sz w:val="28"/>
          <w:szCs w:val="28"/>
        </w:rPr>
      </w:pPr>
    </w:p>
    <w:p w:rsidR="0091362B" w:rsidRPr="008F13A0" w:rsidRDefault="0091362B" w:rsidP="0091362B">
      <w:pPr>
        <w:rPr>
          <w:rFonts w:ascii="Times New Roman" w:hAnsi="Times New Roman" w:cs="Times New Roman"/>
          <w:sz w:val="16"/>
          <w:szCs w:val="16"/>
        </w:rPr>
      </w:pPr>
      <w:r w:rsidRPr="008F13A0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 xml:space="preserve">Фоменко Юлия Сергеевна </w:t>
      </w:r>
    </w:p>
    <w:p w:rsidR="0091362B" w:rsidRPr="000A22B0" w:rsidRDefault="0091362B" w:rsidP="0091362B">
      <w:pPr>
        <w:rPr>
          <w:rFonts w:ascii="Times New Roman" w:hAnsi="Times New Roman" w:cs="Times New Roman"/>
          <w:sz w:val="16"/>
          <w:szCs w:val="16"/>
        </w:rPr>
      </w:pPr>
      <w:r w:rsidRPr="008F13A0">
        <w:rPr>
          <w:rFonts w:ascii="Times New Roman" w:hAnsi="Times New Roman" w:cs="Times New Roman"/>
          <w:sz w:val="16"/>
          <w:szCs w:val="16"/>
        </w:rPr>
        <w:t>8-39162 тел. 22-016</w:t>
      </w:r>
    </w:p>
    <w:p w:rsidR="00E83C73" w:rsidRDefault="00E83C73">
      <w:pPr>
        <w:rPr>
          <w:u w:color="FF0000"/>
        </w:rPr>
      </w:pPr>
    </w:p>
    <w:sectPr w:rsidR="00E83C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02A"/>
    <w:multiLevelType w:val="singleLevel"/>
    <w:tmpl w:val="DE78551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">
    <w:nsid w:val="51A2795F"/>
    <w:multiLevelType w:val="singleLevel"/>
    <w:tmpl w:val="DE78551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>
    <w:nsid w:val="58394ED1"/>
    <w:multiLevelType w:val="singleLevel"/>
    <w:tmpl w:val="D8FCD46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3C73"/>
    <w:rsid w:val="000A22B0"/>
    <w:rsid w:val="000E702D"/>
    <w:rsid w:val="004713C3"/>
    <w:rsid w:val="006333A1"/>
    <w:rsid w:val="008A2B5F"/>
    <w:rsid w:val="008F13A0"/>
    <w:rsid w:val="0091362B"/>
    <w:rsid w:val="009D5B15"/>
    <w:rsid w:val="00BC538D"/>
    <w:rsid w:val="00D37680"/>
    <w:rsid w:val="00DD31EC"/>
    <w:rsid w:val="00E8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11587</Words>
  <Characters>66051</Characters>
  <Application>Microsoft Office Word</Application>
  <DocSecurity>0</DocSecurity>
  <Lines>550</Lines>
  <Paragraphs>154</Paragraphs>
  <ScaleCrop>false</ScaleCrop>
  <Company>Reanimator Extreme Edition</Company>
  <LinksUpToDate>false</LinksUpToDate>
  <CharactersWithSpaces>77484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2023-03-20T09:46:00Z</dcterms:created>
  <dcterms:modified xsi:type="dcterms:W3CDTF">2023-03-20T09:46:00Z</dcterms:modified>
</cp:coreProperties>
</file>